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F00A3" w:rsidR="00986963" w:rsidP="00202D84" w:rsidRDefault="00986963" w14:paraId="2B934883" wp14:textId="77777777">
      <w:pPr>
        <w:jc w:val="center"/>
        <w:rPr>
          <w:rFonts w:ascii="Arial" w:hAnsi="Arial" w:cs="Arial"/>
          <w:b/>
        </w:rPr>
      </w:pPr>
      <w:r w:rsidRPr="003F00A3">
        <w:rPr>
          <w:rFonts w:ascii="Arial" w:hAnsi="Arial" w:cs="Arial"/>
          <w:b/>
        </w:rPr>
        <w:t>TRAFFORD COLLEG</w:t>
      </w:r>
      <w:r w:rsidRPr="003F00A3" w:rsidR="003F00A3">
        <w:rPr>
          <w:rFonts w:ascii="Arial" w:hAnsi="Arial" w:cs="Arial"/>
          <w:b/>
        </w:rPr>
        <w:t>E</w:t>
      </w:r>
      <w:r w:rsidRPr="003F00A3">
        <w:rPr>
          <w:rFonts w:ascii="Arial" w:hAnsi="Arial" w:cs="Arial"/>
          <w:b/>
        </w:rPr>
        <w:t xml:space="preserve"> GROUP</w:t>
      </w:r>
    </w:p>
    <w:p xmlns:wp14="http://schemas.microsoft.com/office/word/2010/wordml" w:rsidRPr="003F00A3" w:rsidR="00696F8F" w:rsidP="00202D84" w:rsidRDefault="00986963" w14:paraId="5C90CE92" wp14:textId="77777777">
      <w:pPr>
        <w:jc w:val="center"/>
        <w:rPr>
          <w:rFonts w:ascii="Arial" w:hAnsi="Arial" w:cs="Arial"/>
          <w:b/>
        </w:rPr>
      </w:pPr>
      <w:r w:rsidRPr="003F00A3">
        <w:rPr>
          <w:rFonts w:ascii="Arial" w:hAnsi="Arial" w:cs="Arial"/>
          <w:b/>
        </w:rPr>
        <w:t xml:space="preserve">SUMMARY </w:t>
      </w:r>
      <w:r w:rsidRPr="003F00A3" w:rsidR="00696F8F">
        <w:rPr>
          <w:rFonts w:ascii="Arial" w:hAnsi="Arial" w:cs="Arial"/>
          <w:b/>
        </w:rPr>
        <w:t>TERMS AND CONDITIONS</w:t>
      </w:r>
      <w:r w:rsidRPr="003F00A3">
        <w:rPr>
          <w:rFonts w:ascii="Arial" w:hAnsi="Arial" w:cs="Arial"/>
          <w:b/>
        </w:rPr>
        <w:t xml:space="preserve"> BUSINESS SUPPORT</w:t>
      </w:r>
    </w:p>
    <w:p xmlns:wp14="http://schemas.microsoft.com/office/word/2010/wordml" w:rsidRPr="001673A0" w:rsidR="001673A0" w:rsidP="001673A0" w:rsidRDefault="00297D75" w14:paraId="4CBA1A17" wp14:textId="77777777">
      <w:pPr>
        <w:pStyle w:val="BodyTextIndent3"/>
        <w:spacing w:after="0"/>
        <w:ind w:left="0" w:right="23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HUMAN RESOURCES BUSINESS PARTNER</w:t>
      </w:r>
    </w:p>
    <w:p xmlns:wp14="http://schemas.microsoft.com/office/word/2010/wordml" w:rsidR="001673A0" w:rsidP="001673A0" w:rsidRDefault="001673A0" w14:paraId="672A6659" wp14:textId="77777777">
      <w:pPr>
        <w:ind w:firstLine="720"/>
        <w:rPr>
          <w:rFonts w:ascii="Arial" w:hAnsi="Arial" w:cs="Arial"/>
          <w:b/>
        </w:rPr>
      </w:pPr>
    </w:p>
    <w:p xmlns:wp14="http://schemas.microsoft.com/office/word/2010/wordml" w:rsidRPr="003F00A3" w:rsidR="00696F8F" w:rsidP="001673A0" w:rsidRDefault="001673A0" w14:paraId="29D6B04F" wp14:textId="77777777">
      <w:pPr>
        <w:ind w:firstLine="720"/>
        <w:rPr>
          <w:rFonts w:ascii="Arial" w:hAnsi="Arial" w:cs="Arial"/>
          <w:b/>
          <w:spacing w:val="-3"/>
        </w:rPr>
      </w:pPr>
      <w:r w:rsidRPr="003F00A3">
        <w:rPr>
          <w:rFonts w:ascii="Arial" w:hAnsi="Arial" w:cs="Arial"/>
          <w:b/>
          <w:spacing w:val="-3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54"/>
        <w:gridCol w:w="6962"/>
      </w:tblGrid>
      <w:tr xmlns:wp14="http://schemas.microsoft.com/office/word/2010/wordml" w:rsidRPr="003F00A3" w:rsidR="00696F8F" w:rsidTr="001657F4" w14:paraId="5A124C69" wp14:textId="77777777">
        <w:tc>
          <w:tcPr>
            <w:tcW w:w="2093" w:type="dxa"/>
          </w:tcPr>
          <w:p w:rsidRPr="003F00A3" w:rsidR="00696F8F" w:rsidP="001657F4" w:rsidRDefault="00696F8F" w14:paraId="0A37501D" wp14:textId="77777777">
            <w:pPr>
              <w:jc w:val="center"/>
              <w:rPr>
                <w:rFonts w:ascii="Arial" w:hAnsi="Arial" w:cs="Arial"/>
              </w:rPr>
            </w:pPr>
          </w:p>
          <w:p w:rsidRPr="003F00A3" w:rsidR="00696F8F" w:rsidP="00696F8F" w:rsidRDefault="00696F8F" w14:paraId="39731BAE" wp14:textId="77777777">
            <w:pPr>
              <w:rPr>
                <w:rFonts w:ascii="Arial" w:hAnsi="Arial" w:cs="Arial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Salary</w:t>
            </w:r>
            <w:r w:rsidRPr="003F00A3">
              <w:rPr>
                <w:rFonts w:ascii="Arial" w:hAnsi="Arial" w:cs="Arial"/>
                <w:spacing w:val="-3"/>
              </w:rPr>
              <w:tab/>
            </w:r>
          </w:p>
        </w:tc>
        <w:tc>
          <w:tcPr>
            <w:tcW w:w="7149" w:type="dxa"/>
          </w:tcPr>
          <w:p w:rsidRPr="00297D75" w:rsidR="00696F8F" w:rsidP="001657F4" w:rsidRDefault="00696F8F" w14:paraId="5DAB6C7B" wp14:textId="77777777">
            <w:pPr>
              <w:jc w:val="center"/>
              <w:rPr>
                <w:rFonts w:ascii="Arial" w:hAnsi="Arial" w:cs="Arial"/>
                <w:spacing w:val="-3"/>
              </w:rPr>
            </w:pPr>
          </w:p>
          <w:p w:rsidRPr="00297D75" w:rsidR="00696F8F" w:rsidP="00297D75" w:rsidRDefault="00297D75" w14:paraId="70274695" wp14:textId="77777777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7D75">
              <w:rPr>
                <w:rFonts w:ascii="Arial" w:hAnsi="Arial" w:cs="Arial"/>
                <w:spacing w:val="-3"/>
                <w:sz w:val="20"/>
                <w:szCs w:val="20"/>
              </w:rPr>
              <w:t xml:space="preserve">£29,976 - £31,596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per annum</w:t>
            </w:r>
          </w:p>
          <w:p w:rsidRPr="00297D75" w:rsidR="00931F78" w:rsidP="00931F78" w:rsidRDefault="00931F78" w14:paraId="02EB378F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both"/>
              <w:rPr>
                <w:rFonts w:ascii="Arial" w:hAnsi="Arial" w:cs="Arial"/>
                <w:spacing w:val="-3"/>
              </w:rPr>
            </w:pPr>
          </w:p>
        </w:tc>
      </w:tr>
      <w:tr xmlns:wp14="http://schemas.microsoft.com/office/word/2010/wordml" w:rsidRPr="003F00A3" w:rsidR="00696F8F" w:rsidTr="001657F4" w14:paraId="642802E4" wp14:textId="77777777">
        <w:tc>
          <w:tcPr>
            <w:tcW w:w="2093" w:type="dxa"/>
          </w:tcPr>
          <w:p w:rsidRPr="003F00A3" w:rsidR="00696F8F" w:rsidP="00696F8F" w:rsidRDefault="00696F8F" w14:paraId="6A05A809" wp14:textId="77777777">
            <w:pPr>
              <w:rPr>
                <w:rFonts w:ascii="Arial" w:hAnsi="Arial" w:cs="Arial"/>
                <w:b/>
                <w:spacing w:val="-3"/>
                <w:u w:val="single"/>
              </w:rPr>
            </w:pPr>
          </w:p>
          <w:p w:rsidRPr="003F00A3" w:rsidR="00696F8F" w:rsidP="00696F8F" w:rsidRDefault="00696F8F" w14:paraId="70B5E086" wp14:textId="77777777">
            <w:pPr>
              <w:rPr>
                <w:rFonts w:ascii="Arial" w:hAnsi="Arial" w:cs="Arial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Working Hours</w:t>
            </w:r>
          </w:p>
        </w:tc>
        <w:tc>
          <w:tcPr>
            <w:tcW w:w="7149" w:type="dxa"/>
          </w:tcPr>
          <w:p w:rsidRPr="003F00A3" w:rsidR="00696F8F" w:rsidP="001657F4" w:rsidRDefault="00696F8F" w14:paraId="5A39BBE3" wp14:textId="77777777">
            <w:pPr>
              <w:jc w:val="center"/>
              <w:rPr>
                <w:rFonts w:ascii="Arial" w:hAnsi="Arial" w:cs="Arial"/>
              </w:rPr>
            </w:pPr>
          </w:p>
          <w:p w:rsidRPr="003F00A3" w:rsidR="00696F8F" w:rsidP="001657F4" w:rsidRDefault="00696F8F" w14:paraId="784B6B85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34"/>
              <w:jc w:val="both"/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  <w:spacing w:val="-3"/>
              </w:rPr>
              <w:t>You will be expected to work such hours as are reasonably necessary for the proper performance of your duties a</w:t>
            </w:r>
            <w:r w:rsidRPr="003F00A3" w:rsidR="003611FA">
              <w:rPr>
                <w:rFonts w:ascii="Arial" w:hAnsi="Arial" w:cs="Arial"/>
                <w:spacing w:val="-3"/>
              </w:rPr>
              <w:t>nd responsibilities, normally 36.25</w:t>
            </w:r>
            <w:r w:rsidRPr="003F00A3">
              <w:rPr>
                <w:rFonts w:ascii="Arial" w:hAnsi="Arial" w:cs="Arial"/>
                <w:spacing w:val="-3"/>
              </w:rPr>
              <w:t xml:space="preserve"> hours per week.  You may from time to time be required to work on a Saturday, providing adequate notice has been given.  If you are required to work regularly on a Saturday arrangements will be made to allow you to have two consecutive days off in the following seven-day period.</w:t>
            </w:r>
            <w:r w:rsidRPr="003F00A3" w:rsidR="002C6D02">
              <w:rPr>
                <w:rFonts w:ascii="Arial" w:hAnsi="Arial" w:cs="Arial"/>
                <w:spacing w:val="-3"/>
              </w:rPr>
              <w:t xml:space="preserve"> </w:t>
            </w:r>
          </w:p>
          <w:p w:rsidRPr="003F00A3" w:rsidR="002C6D02" w:rsidP="001657F4" w:rsidRDefault="002C6D02" w14:paraId="41C8F396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34"/>
              <w:jc w:val="both"/>
              <w:rPr>
                <w:rFonts w:ascii="Arial" w:hAnsi="Arial" w:cs="Arial"/>
                <w:spacing w:val="-3"/>
              </w:rPr>
            </w:pPr>
          </w:p>
          <w:p w:rsidRPr="003F00A3" w:rsidR="00696F8F" w:rsidP="001673A0" w:rsidRDefault="002C6D02" w14:paraId="4A2FC077" wp14:textId="77777777">
            <w:pPr>
              <w:spacing w:line="276" w:lineRule="auto"/>
              <w:ind w:left="34" w:firstLine="11"/>
              <w:jc w:val="both"/>
              <w:rPr>
                <w:rFonts w:ascii="Arial" w:hAnsi="Arial" w:cs="Arial"/>
                <w:lang w:val="en-US"/>
              </w:rPr>
            </w:pPr>
            <w:r w:rsidRPr="003F00A3">
              <w:rPr>
                <w:rFonts w:ascii="Arial" w:hAnsi="Arial" w:cs="Arial"/>
                <w:lang w:val="en-US"/>
              </w:rPr>
              <w:t xml:space="preserve">Your working year will be one </w:t>
            </w:r>
            <w:r w:rsidRPr="00297D75">
              <w:rPr>
                <w:rFonts w:ascii="Arial" w:hAnsi="Arial" w:cs="Arial"/>
                <w:lang w:val="en-US"/>
              </w:rPr>
              <w:t xml:space="preserve">of </w:t>
            </w:r>
            <w:r w:rsidRPr="00297D75" w:rsidR="001673A0">
              <w:rPr>
                <w:rFonts w:ascii="Arial" w:hAnsi="Arial" w:cs="Arial"/>
                <w:lang w:val="en-US"/>
              </w:rPr>
              <w:t>52</w:t>
            </w:r>
            <w:r w:rsidRPr="00297D75">
              <w:rPr>
                <w:rFonts w:ascii="Arial" w:hAnsi="Arial" w:cs="Arial"/>
                <w:lang w:val="en-US"/>
              </w:rPr>
              <w:t xml:space="preserve"> weeks. Your remuneration will be </w:t>
            </w:r>
            <w:r w:rsidRPr="00297D75" w:rsidR="001673A0">
              <w:rPr>
                <w:rFonts w:ascii="Arial" w:hAnsi="Arial" w:cs="Arial"/>
                <w:lang w:val="en-US"/>
              </w:rPr>
              <w:t>f</w:t>
            </w:r>
            <w:r w:rsidRPr="00297D75">
              <w:rPr>
                <w:rFonts w:ascii="Arial" w:hAnsi="Arial" w:cs="Arial"/>
                <w:lang w:val="en-US"/>
              </w:rPr>
              <w:t xml:space="preserve">or </w:t>
            </w:r>
            <w:r w:rsidRPr="00297D75" w:rsidR="001673A0">
              <w:rPr>
                <w:rFonts w:ascii="Arial" w:hAnsi="Arial" w:cs="Arial"/>
                <w:lang w:val="en-US"/>
              </w:rPr>
              <w:t>52</w:t>
            </w:r>
            <w:r w:rsidRPr="003F00A3">
              <w:rPr>
                <w:rFonts w:ascii="Arial" w:hAnsi="Arial" w:cs="Arial"/>
                <w:lang w:val="en-US"/>
              </w:rPr>
              <w:t xml:space="preserve"> weeks to include your holiday entitleme</w:t>
            </w:r>
            <w:r w:rsidR="003F00A3">
              <w:rPr>
                <w:rFonts w:ascii="Arial" w:hAnsi="Arial" w:cs="Arial"/>
                <w:lang w:val="en-US"/>
              </w:rPr>
              <w:t xml:space="preserve">nt, including public holidays. </w:t>
            </w:r>
          </w:p>
        </w:tc>
      </w:tr>
      <w:tr xmlns:wp14="http://schemas.microsoft.com/office/word/2010/wordml" w:rsidRPr="003F00A3" w:rsidR="00696F8F" w:rsidTr="001657F4" w14:paraId="5C61BBD2" wp14:textId="77777777">
        <w:tc>
          <w:tcPr>
            <w:tcW w:w="2093" w:type="dxa"/>
          </w:tcPr>
          <w:p w:rsidRPr="003F00A3" w:rsidR="00696F8F" w:rsidP="00696F8F" w:rsidRDefault="00696F8F" w14:paraId="72A3D3EC" wp14:textId="77777777">
            <w:pPr>
              <w:rPr>
                <w:rFonts w:ascii="Arial" w:hAnsi="Arial" w:cs="Arial"/>
                <w:b/>
                <w:spacing w:val="-3"/>
                <w:u w:val="single"/>
              </w:rPr>
            </w:pPr>
          </w:p>
          <w:p w:rsidRPr="003F00A3" w:rsidR="00696F8F" w:rsidP="00696F8F" w:rsidRDefault="00696F8F" w14:paraId="6D7D2E05" wp14:textId="77777777">
            <w:pPr>
              <w:rPr>
                <w:rFonts w:ascii="Arial" w:hAnsi="Arial" w:cs="Arial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Holidays</w:t>
            </w:r>
          </w:p>
        </w:tc>
        <w:tc>
          <w:tcPr>
            <w:tcW w:w="7149" w:type="dxa"/>
          </w:tcPr>
          <w:p w:rsidRPr="003F00A3" w:rsidR="00696F8F" w:rsidP="00696F8F" w:rsidRDefault="00696F8F" w14:paraId="0D0B940D" wp14:textId="77777777">
            <w:pPr>
              <w:rPr>
                <w:rFonts w:ascii="Arial" w:hAnsi="Arial" w:cs="Arial"/>
              </w:rPr>
            </w:pPr>
          </w:p>
          <w:p w:rsidRPr="003F00A3" w:rsidR="00696F8F" w:rsidP="003F00A3" w:rsidRDefault="003611FA" w14:paraId="4A677A76" wp14:textId="77777777">
            <w:pPr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F00A3">
              <w:rPr>
                <w:rFonts w:ascii="Arial" w:hAnsi="Arial" w:cs="Arial"/>
              </w:rPr>
              <w:t>Annual leave is 28 working days for a full ye</w:t>
            </w:r>
            <w:r w:rsidRPr="003F00A3" w:rsidR="003F00A3">
              <w:rPr>
                <w:rFonts w:ascii="Arial" w:hAnsi="Arial" w:cs="Arial"/>
              </w:rPr>
              <w:t>ar based on a 5-day</w:t>
            </w:r>
            <w:r w:rsidRPr="003F00A3">
              <w:rPr>
                <w:rFonts w:ascii="Arial" w:hAnsi="Arial" w:cs="Arial"/>
              </w:rPr>
              <w:t xml:space="preserve"> working week in addition to Public Holidays. Staff employed on temporary/fixed term contracts and term time only contracts will receive the approp</w:t>
            </w:r>
            <w:r w:rsidR="003F00A3">
              <w:rPr>
                <w:rFonts w:ascii="Arial" w:hAnsi="Arial" w:cs="Arial"/>
              </w:rPr>
              <w:t>riate leave on a pro-rata basis.</w:t>
            </w:r>
          </w:p>
        </w:tc>
      </w:tr>
      <w:tr xmlns:wp14="http://schemas.microsoft.com/office/word/2010/wordml" w:rsidRPr="003F00A3" w:rsidR="00696F8F" w:rsidTr="001657F4" w14:paraId="60462180" wp14:textId="77777777">
        <w:tc>
          <w:tcPr>
            <w:tcW w:w="2093" w:type="dxa"/>
          </w:tcPr>
          <w:p w:rsidRPr="003F00A3" w:rsidR="00696F8F" w:rsidP="00696F8F" w:rsidRDefault="00696F8F" w14:paraId="0E27B00A" wp14:textId="77777777">
            <w:pPr>
              <w:rPr>
                <w:rFonts w:ascii="Arial" w:hAnsi="Arial" w:cs="Arial"/>
              </w:rPr>
            </w:pPr>
          </w:p>
          <w:p w:rsidRPr="003F00A3" w:rsidR="00696F8F" w:rsidP="00696F8F" w:rsidRDefault="00696F8F" w14:paraId="4BCA1C84" wp14:textId="77777777">
            <w:pPr>
              <w:rPr>
                <w:rFonts w:ascii="Arial" w:hAnsi="Arial" w:cs="Arial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Payment</w:t>
            </w:r>
          </w:p>
        </w:tc>
        <w:tc>
          <w:tcPr>
            <w:tcW w:w="7149" w:type="dxa"/>
          </w:tcPr>
          <w:p w:rsidRPr="003F00A3" w:rsidR="00696F8F" w:rsidP="00696F8F" w:rsidRDefault="00696F8F" w14:paraId="60061E4C" wp14:textId="77777777">
            <w:pPr>
              <w:rPr>
                <w:rFonts w:ascii="Arial" w:hAnsi="Arial" w:cs="Arial"/>
              </w:rPr>
            </w:pPr>
          </w:p>
          <w:p w:rsidRPr="003F00A3" w:rsidR="00696F8F" w:rsidP="003F00A3" w:rsidRDefault="003611FA" w14:paraId="7C3889E7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34"/>
              <w:jc w:val="both"/>
              <w:rPr>
                <w:rFonts w:ascii="Arial" w:hAnsi="Arial" w:cs="Arial"/>
                <w:spacing w:val="-2"/>
              </w:rPr>
            </w:pPr>
            <w:r w:rsidRPr="003F00A3">
              <w:rPr>
                <w:rFonts w:ascii="Arial" w:hAnsi="Arial" w:cs="Arial"/>
                <w:spacing w:val="-2"/>
              </w:rPr>
              <w:t>Staff are paid monthly by credit transfer on the 25th except where this date falls on a Saturday or Sunday in which case payment will b</w:t>
            </w:r>
            <w:r w:rsidR="003F00A3">
              <w:rPr>
                <w:rFonts w:ascii="Arial" w:hAnsi="Arial" w:cs="Arial"/>
                <w:spacing w:val="-2"/>
              </w:rPr>
              <w:t>e made on the preceding Friday.</w:t>
            </w:r>
          </w:p>
        </w:tc>
      </w:tr>
      <w:tr xmlns:wp14="http://schemas.microsoft.com/office/word/2010/wordml" w:rsidRPr="003F00A3" w:rsidR="00696F8F" w:rsidTr="001657F4" w14:paraId="56ED8B70" wp14:textId="77777777">
        <w:tc>
          <w:tcPr>
            <w:tcW w:w="2093" w:type="dxa"/>
          </w:tcPr>
          <w:p w:rsidRPr="003F00A3" w:rsidR="00696F8F" w:rsidP="001657F4" w:rsidRDefault="00696F8F" w14:paraId="44EAFD9C" wp14:textId="77777777">
            <w:pPr>
              <w:jc w:val="center"/>
              <w:rPr>
                <w:rFonts w:ascii="Arial" w:hAnsi="Arial" w:cs="Arial"/>
              </w:rPr>
            </w:pPr>
          </w:p>
          <w:p w:rsidRPr="003F00A3" w:rsidR="00717971" w:rsidP="00717971" w:rsidRDefault="00717971" w14:paraId="0E2CF43F" wp14:textId="77777777">
            <w:pPr>
              <w:rPr>
                <w:rFonts w:ascii="Arial" w:hAnsi="Arial" w:cs="Arial"/>
                <w:b/>
                <w:spacing w:val="-3"/>
                <w:u w:val="single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Probationary Period</w:t>
            </w:r>
          </w:p>
          <w:p w:rsidRPr="003F00A3" w:rsidR="00717971" w:rsidP="00717971" w:rsidRDefault="00717971" w14:paraId="4B94D5A5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:rsidRPr="003F00A3" w:rsidR="00696F8F" w:rsidP="00717971" w:rsidRDefault="00696F8F" w14:paraId="3DEEC669" wp14:textId="77777777">
            <w:pPr>
              <w:rPr>
                <w:rFonts w:ascii="Arial" w:hAnsi="Arial" w:cs="Arial"/>
              </w:rPr>
            </w:pPr>
          </w:p>
          <w:p w:rsidRPr="003F00A3" w:rsidR="00717971" w:rsidP="00717971" w:rsidRDefault="00717971" w14:paraId="4AB7AFA1" wp14:textId="77777777">
            <w:pPr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  <w:spacing w:val="-3"/>
              </w:rPr>
              <w:t>The successful candidate will be required to complete a pro</w:t>
            </w:r>
            <w:r w:rsidR="003F00A3">
              <w:rPr>
                <w:rFonts w:ascii="Arial" w:hAnsi="Arial" w:cs="Arial"/>
                <w:spacing w:val="-3"/>
              </w:rPr>
              <w:t>bationary period of six months.</w:t>
            </w:r>
          </w:p>
        </w:tc>
      </w:tr>
      <w:tr xmlns:wp14="http://schemas.microsoft.com/office/word/2010/wordml" w:rsidRPr="003F00A3" w:rsidR="00696F8F" w:rsidTr="001657F4" w14:paraId="633BC3C7" wp14:textId="77777777">
        <w:tc>
          <w:tcPr>
            <w:tcW w:w="2093" w:type="dxa"/>
          </w:tcPr>
          <w:p w:rsidRPr="003F00A3" w:rsidR="00696F8F" w:rsidP="00717971" w:rsidRDefault="00696F8F" w14:paraId="3656B9AB" wp14:textId="77777777">
            <w:pPr>
              <w:rPr>
                <w:rFonts w:ascii="Arial" w:hAnsi="Arial" w:cs="Arial"/>
              </w:rPr>
            </w:pPr>
          </w:p>
          <w:p w:rsidRPr="003F00A3" w:rsidR="00717971" w:rsidP="00717971" w:rsidRDefault="00717971" w14:paraId="5CE49E22" wp14:textId="77777777">
            <w:pPr>
              <w:rPr>
                <w:rFonts w:ascii="Arial" w:hAnsi="Arial" w:cs="Arial"/>
                <w:b/>
                <w:spacing w:val="-3"/>
                <w:u w:val="single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Notice</w:t>
            </w:r>
          </w:p>
          <w:p w:rsidRPr="003F00A3" w:rsidR="00717971" w:rsidP="00717971" w:rsidRDefault="00717971" w14:paraId="45FB0818" wp14:textId="77777777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Pr="003F00A3" w:rsidR="00717971" w:rsidP="001657F4" w:rsidRDefault="00717971" w14:paraId="049F31CB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hanging="11"/>
              <w:jc w:val="both"/>
              <w:rPr>
                <w:rFonts w:ascii="Arial" w:hAnsi="Arial" w:cs="Arial"/>
                <w:spacing w:val="-3"/>
              </w:rPr>
            </w:pPr>
          </w:p>
          <w:p w:rsidRPr="003F00A3" w:rsidR="00F749AD" w:rsidP="003F00A3" w:rsidRDefault="00717971" w14:paraId="31AB09C6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hanging="11"/>
              <w:jc w:val="both"/>
              <w:rPr>
                <w:rFonts w:ascii="Arial" w:hAnsi="Arial" w:cs="Arial"/>
              </w:rPr>
            </w:pPr>
            <w:r w:rsidRPr="003F00A3">
              <w:rPr>
                <w:rFonts w:ascii="Arial" w:hAnsi="Arial" w:cs="Arial"/>
                <w:spacing w:val="-3"/>
              </w:rPr>
              <w:t xml:space="preserve">Following completion of the probationary period the </w:t>
            </w:r>
            <w:r w:rsidRPr="003F00A3" w:rsidR="00F749AD">
              <w:rPr>
                <w:rFonts w:ascii="Arial" w:hAnsi="Arial" w:cs="Arial"/>
              </w:rPr>
              <w:t>Corporation may terminate your employment by giving you in writing whichever is the greater of 1 month notice or one week's notice for each year of service, up to a maximum of 12 weeks' notice. Staff employed on salary points 1-6 may terminate their employment at any time by giving the Corporation one month's notice in writing.  Staff employed on salary scale SO1 or above will be required to giv</w:t>
            </w:r>
            <w:r w:rsidR="003F00A3">
              <w:rPr>
                <w:rFonts w:ascii="Arial" w:hAnsi="Arial" w:cs="Arial"/>
              </w:rPr>
              <w:t>e two months’ notice in writing.</w:t>
            </w:r>
          </w:p>
        </w:tc>
      </w:tr>
      <w:tr xmlns:wp14="http://schemas.microsoft.com/office/word/2010/wordml" w:rsidRPr="003F00A3" w:rsidR="00696F8F" w:rsidTr="001657F4" w14:paraId="075A772E" wp14:textId="77777777">
        <w:tc>
          <w:tcPr>
            <w:tcW w:w="2093" w:type="dxa"/>
          </w:tcPr>
          <w:p w:rsidRPr="003F00A3" w:rsidR="00696F8F" w:rsidP="001657F4" w:rsidRDefault="00696F8F" w14:paraId="53128261" wp14:textId="77777777">
            <w:pPr>
              <w:jc w:val="center"/>
              <w:rPr>
                <w:rFonts w:ascii="Arial" w:hAnsi="Arial" w:cs="Arial"/>
              </w:rPr>
            </w:pPr>
          </w:p>
          <w:p w:rsidRPr="003F00A3" w:rsidR="00717971" w:rsidP="00717971" w:rsidRDefault="00717971" w14:paraId="5CED508A" wp14:textId="77777777">
            <w:pPr>
              <w:rPr>
                <w:rFonts w:ascii="Arial" w:hAnsi="Arial" w:cs="Arial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Smoking</w:t>
            </w:r>
          </w:p>
        </w:tc>
        <w:tc>
          <w:tcPr>
            <w:tcW w:w="7149" w:type="dxa"/>
          </w:tcPr>
          <w:p w:rsidRPr="003F00A3" w:rsidR="00696F8F" w:rsidP="00717971" w:rsidRDefault="00696F8F" w14:paraId="62486C05" wp14:textId="77777777">
            <w:pPr>
              <w:rPr>
                <w:rFonts w:ascii="Arial" w:hAnsi="Arial" w:cs="Arial"/>
              </w:rPr>
            </w:pPr>
          </w:p>
          <w:p w:rsidRPr="003F00A3" w:rsidR="00717971" w:rsidP="001657F4" w:rsidRDefault="00717971" w14:paraId="5B253BE8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both"/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  <w:spacing w:val="-3"/>
              </w:rPr>
              <w:t>The College operates a no smoking policy.</w:t>
            </w:r>
          </w:p>
          <w:p w:rsidRPr="003F00A3" w:rsidR="00717971" w:rsidP="00717971" w:rsidRDefault="00717971" w14:paraId="4101652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3F00A3" w:rsidR="00696F8F" w:rsidTr="001657F4" w14:paraId="4DAB9388" wp14:textId="77777777">
        <w:tc>
          <w:tcPr>
            <w:tcW w:w="2093" w:type="dxa"/>
          </w:tcPr>
          <w:p w:rsidRPr="003F00A3" w:rsidR="00717971" w:rsidP="00717971" w:rsidRDefault="00717971" w14:paraId="4B99056E" wp14:textId="77777777">
            <w:pPr>
              <w:rPr>
                <w:rFonts w:ascii="Arial" w:hAnsi="Arial" w:cs="Arial"/>
                <w:b/>
                <w:spacing w:val="-3"/>
                <w:u w:val="single"/>
              </w:rPr>
            </w:pPr>
          </w:p>
          <w:p w:rsidRPr="003F00A3" w:rsidR="00696F8F" w:rsidP="00717971" w:rsidRDefault="00717971" w14:paraId="74F795F1" wp14:textId="77777777">
            <w:pPr>
              <w:rPr>
                <w:rFonts w:ascii="Arial" w:hAnsi="Arial" w:cs="Arial"/>
                <w:b/>
                <w:spacing w:val="-3"/>
                <w:u w:val="single"/>
              </w:rPr>
            </w:pPr>
            <w:r w:rsidRPr="003F00A3">
              <w:rPr>
                <w:rFonts w:ascii="Arial" w:hAnsi="Arial" w:cs="Arial"/>
                <w:b/>
                <w:spacing w:val="-3"/>
                <w:u w:val="single"/>
              </w:rPr>
              <w:t>General</w:t>
            </w:r>
          </w:p>
          <w:p w:rsidRPr="003F00A3" w:rsidR="00717971" w:rsidP="00717971" w:rsidRDefault="00717971" w14:paraId="1299C43A" wp14:textId="77777777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Pr="003F00A3" w:rsidR="00696F8F" w:rsidP="00717971" w:rsidRDefault="00696F8F" w14:paraId="4DDBEF00" wp14:textId="77777777">
            <w:pPr>
              <w:rPr>
                <w:rFonts w:ascii="Arial" w:hAnsi="Arial" w:cs="Arial"/>
              </w:rPr>
            </w:pPr>
          </w:p>
          <w:p w:rsidRPr="003F00A3" w:rsidR="00717971" w:rsidP="001657F4" w:rsidRDefault="00717971" w14:paraId="540FA47F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34" w:hanging="11"/>
              <w:jc w:val="both"/>
              <w:rPr>
                <w:rFonts w:ascii="Arial" w:hAnsi="Arial" w:cs="Arial"/>
                <w:spacing w:val="-2"/>
              </w:rPr>
            </w:pPr>
            <w:r w:rsidRPr="003F00A3">
              <w:rPr>
                <w:rFonts w:ascii="Arial" w:hAnsi="Arial" w:cs="Arial"/>
                <w:spacing w:val="-3"/>
              </w:rPr>
              <w:t xml:space="preserve">The successful candidate will be required to complete medical forms and undergo a full medical examination if required. </w:t>
            </w:r>
            <w:r w:rsidRPr="003F00A3">
              <w:rPr>
                <w:rFonts w:ascii="Arial" w:hAnsi="Arial" w:cs="Arial"/>
                <w:spacing w:val="-2"/>
              </w:rPr>
              <w:t>Before employment commences the successful candidate will be required to provide:</w:t>
            </w:r>
          </w:p>
          <w:p w:rsidRPr="003F00A3" w:rsidR="00717971" w:rsidP="001657F4" w:rsidRDefault="00717971" w14:paraId="3461D779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34" w:hanging="11"/>
              <w:jc w:val="both"/>
              <w:rPr>
                <w:rFonts w:ascii="Arial" w:hAnsi="Arial" w:cs="Arial"/>
                <w:spacing w:val="-2"/>
              </w:rPr>
            </w:pPr>
          </w:p>
          <w:p w:rsidRPr="003F00A3" w:rsidR="00717971" w:rsidP="001657F4" w:rsidRDefault="00717971" w14:paraId="3DF475E6" wp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  <w:spacing w:val="-2"/>
              </w:rPr>
              <w:t>Proof of eligibility to work in Great Britain in accordance with the Asylum and Immigration Act 1996</w:t>
            </w:r>
          </w:p>
          <w:p w:rsidRPr="003F00A3" w:rsidR="00717971" w:rsidP="001657F4" w:rsidRDefault="00717971" w14:paraId="1E401398" wp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  <w:spacing w:val="-2"/>
              </w:rPr>
              <w:t>Disclosure check via Disclosure &amp; Ba</w:t>
            </w:r>
            <w:r w:rsidRPr="003F00A3" w:rsidR="001657F4">
              <w:rPr>
                <w:rFonts w:ascii="Arial" w:hAnsi="Arial" w:cs="Arial"/>
                <w:spacing w:val="-2"/>
              </w:rPr>
              <w:t xml:space="preserve">rring Service including a </w:t>
            </w:r>
            <w:r w:rsidRPr="003F00A3">
              <w:rPr>
                <w:rFonts w:ascii="Arial" w:hAnsi="Arial" w:cs="Arial"/>
                <w:spacing w:val="-2"/>
              </w:rPr>
              <w:t>check of the barred lists if appropriate</w:t>
            </w:r>
          </w:p>
          <w:p w:rsidRPr="003F00A3" w:rsidR="001657F4" w:rsidP="001657F4" w:rsidRDefault="001657F4" w14:paraId="52D757BE" wp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</w:rPr>
              <w:t>Satisfactory references</w:t>
            </w:r>
          </w:p>
          <w:p w:rsidRPr="003F00A3" w:rsidR="001657F4" w:rsidP="001657F4" w:rsidRDefault="001657F4" w14:paraId="2A3419D4" wp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3F00A3">
              <w:rPr>
                <w:rFonts w:ascii="Arial" w:hAnsi="Arial" w:cs="Arial"/>
              </w:rPr>
              <w:t>Proof of Qualifications required for the role</w:t>
            </w:r>
          </w:p>
          <w:p w:rsidRPr="003F00A3" w:rsidR="00717971" w:rsidP="00717971" w:rsidRDefault="00717971" w14:paraId="3CF2D8B6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3F00A3" w:rsidR="005F13B1" w:rsidP="00696F8F" w:rsidRDefault="005F13B1" w14:paraId="0FB78278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3F00A3" w:rsidR="001657F4" w:rsidP="001657F4" w:rsidRDefault="001657F4" w14:paraId="1FC39945" wp14:textId="77777777">
      <w:pPr>
        <w:pStyle w:val="BodyText"/>
        <w:jc w:val="both"/>
        <w:rPr>
          <w:rFonts w:ascii="Arial" w:hAnsi="Arial" w:cs="Arial"/>
          <w:sz w:val="20"/>
        </w:rPr>
      </w:pPr>
    </w:p>
    <w:p xmlns:wp14="http://schemas.microsoft.com/office/word/2010/wordml" w:rsidRPr="003F00A3" w:rsidR="00F749AD" w:rsidP="001657F4" w:rsidRDefault="00F749AD" w14:paraId="0562CB0E" wp14:textId="77777777">
      <w:pPr>
        <w:tabs>
          <w:tab w:val="left" w:pos="-720"/>
        </w:tabs>
        <w:suppressAutoHyphens/>
        <w:ind w:right="-784"/>
        <w:jc w:val="both"/>
        <w:rPr>
          <w:rFonts w:ascii="Arial" w:hAnsi="Arial" w:cs="Arial"/>
          <w:b/>
          <w:spacing w:val="-3"/>
        </w:rPr>
      </w:pPr>
    </w:p>
    <w:p xmlns:wp14="http://schemas.microsoft.com/office/word/2010/wordml" w:rsidRPr="001673A0" w:rsidR="001657F4" w:rsidP="001673A0" w:rsidRDefault="001657F4" w14:paraId="5E4BD36A" wp14:textId="77777777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 w:rsidRPr="003F00A3">
        <w:rPr>
          <w:rFonts w:ascii="Arial" w:hAnsi="Arial" w:cs="Arial"/>
          <w:b/>
          <w:spacing w:val="-3"/>
        </w:rPr>
        <w:t>CANDIDATES WHO HAVE NOT BEEN CALLED FOR INTERVIEW WITHIN THREE WEEKS OF THE CLOSING DATE SHOULD ASSUME THAT, ON THIS OCCASION, THEIR APPLICATION HAS BEEN UNSUCCESSFUL.</w:t>
      </w:r>
    </w:p>
    <w:sectPr w:rsidRPr="001673A0" w:rsidR="001657F4" w:rsidSect="00F749AD"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B77"/>
    <w:multiLevelType w:val="hybridMultilevel"/>
    <w:tmpl w:val="024699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E174FB"/>
    <w:multiLevelType w:val="hybridMultilevel"/>
    <w:tmpl w:val="176875DC"/>
    <w:lvl w:ilvl="0" w:tplc="08090001">
      <w:start w:val="1"/>
      <w:numFmt w:val="bullet"/>
      <w:lvlText w:val=""/>
      <w:lvlJc w:val="left"/>
      <w:pPr>
        <w:ind w:left="7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writeProtection w:recommended="1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F"/>
    <w:rsid w:val="001657F4"/>
    <w:rsid w:val="001673A0"/>
    <w:rsid w:val="00202D84"/>
    <w:rsid w:val="00297D75"/>
    <w:rsid w:val="002C6D02"/>
    <w:rsid w:val="003611FA"/>
    <w:rsid w:val="003F00A3"/>
    <w:rsid w:val="005C0A56"/>
    <w:rsid w:val="005F13B1"/>
    <w:rsid w:val="00696F8F"/>
    <w:rsid w:val="00717971"/>
    <w:rsid w:val="007E2799"/>
    <w:rsid w:val="00931F78"/>
    <w:rsid w:val="00986963"/>
    <w:rsid w:val="00F749AD"/>
    <w:rsid w:val="0D2B9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D34DD5"/>
  <w15:chartTrackingRefBased/>
  <w15:docId w15:val="{206235DD-73BE-46B4-8F7C-AF4A55315C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6F8F"/>
    <w:rPr>
      <w:rFonts w:ascii="Times New Roman" w:hAnsi="Times New Roman" w:eastAsia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7971"/>
    <w:pPr>
      <w:ind w:left="720"/>
      <w:contextualSpacing/>
    </w:pPr>
  </w:style>
  <w:style w:type="paragraph" w:styleId="BodyText">
    <w:name w:val="Body Text"/>
    <w:basedOn w:val="Normal"/>
    <w:link w:val="BodyTextChar"/>
    <w:rsid w:val="001657F4"/>
    <w:rPr>
      <w:sz w:val="22"/>
    </w:rPr>
  </w:style>
  <w:style w:type="character" w:styleId="BodyTextChar" w:customStyle="1">
    <w:name w:val="Body Text Char"/>
    <w:link w:val="BodyText"/>
    <w:rsid w:val="001657F4"/>
    <w:rPr>
      <w:rFonts w:ascii="Times New Roman" w:hAnsi="Times New Roman"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1673A0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link w:val="BodyTextIndent3"/>
    <w:rsid w:val="001673A0"/>
    <w:rPr>
      <w:rFonts w:ascii="Times New Roman" w:hAnsi="Times New Roman"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E87C9AB8E544BCA48EE2CBE2F57B" ma:contentTypeVersion="14" ma:contentTypeDescription="Create a new document." ma:contentTypeScope="" ma:versionID="9775e097efd73b92b6c734b3884edafe">
  <xsd:schema xmlns:xsd="http://www.w3.org/2001/XMLSchema" xmlns:xs="http://www.w3.org/2001/XMLSchema" xmlns:p="http://schemas.microsoft.com/office/2006/metadata/properties" xmlns:ns2="b7e94411-131a-470c-8829-21567cc5425a" xmlns:ns3="21d276ed-f117-47cf-ad40-12506a2c183a" targetNamespace="http://schemas.microsoft.com/office/2006/metadata/properties" ma:root="true" ma:fieldsID="4b916b734773d29902e1c6a09bafe41d" ns2:_="" ns3:_="">
    <xsd:import namespace="b7e94411-131a-470c-8829-21567cc5425a"/>
    <xsd:import namespace="21d276ed-f117-47cf-ad40-12506a2c1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411-131a-470c-8829-21567cc54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76ed-f117-47cf-ad40-12506a2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477B44E-E72D-4A29-8EDB-8BAEA3739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A8991-2F26-4D02-A120-46FA939B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94411-131a-470c-8829-21567cc5425a"/>
    <ds:schemaRef ds:uri="21d276ed-f117-47cf-ad40-12506a2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AC9C-6454-41CD-9E8B-1ED647C16C5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2</ap:DocSecurity>
  <ap:ScaleCrop>false</ap:ScaleCrop>
  <ap:Company>Trafford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ivesv</dc:creator>
  <keywords/>
  <lastModifiedBy>Naomi Harrop</lastModifiedBy>
  <revision>8</revision>
  <lastPrinted>2018-05-02T19:54:00.0000000Z</lastPrinted>
  <dcterms:created xsi:type="dcterms:W3CDTF">2021-09-23T16:13:00.0000000Z</dcterms:created>
  <dcterms:modified xsi:type="dcterms:W3CDTF">2021-09-23T16:14:07.0247136Z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Nicola Wilcock</vt:lpwstr>
  </property>
  <property fmtid="{D5CDD505-2E9C-101B-9397-08002B2CF9AE}" pid="3" name="Order">
    <vt:lpwstr>2358100.00000000</vt:lpwstr>
  </property>
  <property fmtid="{D5CDD505-2E9C-101B-9397-08002B2CF9AE}" pid="4" name="display_urn:schemas-microsoft-com:office:office#Author">
    <vt:lpwstr>Nicola Wilcock</vt:lpwstr>
  </property>
  <property fmtid="{D5CDD505-2E9C-101B-9397-08002B2CF9AE}" pid="5" name="Sign-off status">
    <vt:lpwstr/>
  </property>
</Properties>
</file>