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57EB" w14:textId="61BF0597" w:rsidR="00737A97" w:rsidRDefault="002D2675" w:rsidP="002B0CF9">
      <w:pPr>
        <w:pStyle w:val="BodyText"/>
        <w:spacing w:after="0"/>
        <w:ind w:left="0"/>
        <w:outlineLvl w:val="0"/>
        <w:rPr>
          <w:rStyle w:val="Emphasis"/>
          <w:rFonts w:cs="Arial"/>
          <w:b/>
          <w:i w:val="0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3CB04" wp14:editId="41FEA9A5">
            <wp:simplePos x="0" y="0"/>
            <wp:positionH relativeFrom="column">
              <wp:posOffset>3991914</wp:posOffset>
            </wp:positionH>
            <wp:positionV relativeFrom="paragraph">
              <wp:posOffset>-577603</wp:posOffset>
            </wp:positionV>
            <wp:extent cx="2358206" cy="7143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5EA2F" w14:textId="77777777" w:rsidR="002B0CF9" w:rsidRDefault="002B0CF9" w:rsidP="00B67BF3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  <w:u w:val="single"/>
        </w:rPr>
      </w:pPr>
    </w:p>
    <w:p w14:paraId="5619D729" w14:textId="77777777" w:rsidR="002B0CF9" w:rsidRDefault="002B0CF9" w:rsidP="00B67BF3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  <w:u w:val="single"/>
        </w:rPr>
      </w:pPr>
    </w:p>
    <w:p w14:paraId="5CDBAF88" w14:textId="77777777" w:rsidR="002B0CF9" w:rsidRDefault="002B0CF9" w:rsidP="00B67BF3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  <w:u w:val="single"/>
        </w:rPr>
      </w:pPr>
    </w:p>
    <w:p w14:paraId="5972BA38" w14:textId="38602E44" w:rsidR="00724BCC" w:rsidRPr="00737A97" w:rsidRDefault="00724BCC" w:rsidP="00B67BF3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  <w:u w:val="single"/>
        </w:rPr>
      </w:pPr>
      <w:r w:rsidRPr="00737A97">
        <w:rPr>
          <w:rStyle w:val="Emphasis"/>
          <w:rFonts w:cs="Arial"/>
          <w:b/>
          <w:i w:val="0"/>
          <w:szCs w:val="22"/>
          <w:u w:val="single"/>
        </w:rPr>
        <w:t>WILTSHIRE COLLEGE</w:t>
      </w:r>
      <w:r w:rsidR="002D2675">
        <w:rPr>
          <w:rStyle w:val="Emphasis"/>
          <w:rFonts w:cs="Arial"/>
          <w:b/>
          <w:i w:val="0"/>
          <w:szCs w:val="22"/>
          <w:u w:val="single"/>
        </w:rPr>
        <w:t xml:space="preserve"> &amp; UNIVERSITY CENTRE</w:t>
      </w:r>
    </w:p>
    <w:p w14:paraId="215EED1B" w14:textId="77777777" w:rsidR="00724BCC" w:rsidRPr="00737A97" w:rsidRDefault="00724BCC" w:rsidP="00B67BF3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  <w:u w:val="single"/>
        </w:rPr>
      </w:pPr>
    </w:p>
    <w:p w14:paraId="51BAFAD3" w14:textId="77777777" w:rsidR="00CF3FD1" w:rsidRPr="00737A97" w:rsidRDefault="00CF3FD1" w:rsidP="00B67BF3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  <w:u w:val="single"/>
        </w:rPr>
      </w:pPr>
      <w:r w:rsidRPr="00737A97">
        <w:rPr>
          <w:rStyle w:val="Emphasis"/>
          <w:rFonts w:cs="Arial"/>
          <w:b/>
          <w:i w:val="0"/>
          <w:szCs w:val="22"/>
          <w:u w:val="single"/>
        </w:rPr>
        <w:t>JOB DESCRIPTION</w:t>
      </w:r>
    </w:p>
    <w:p w14:paraId="0D355E93" w14:textId="77777777" w:rsidR="00CF3FD1" w:rsidRPr="00C434D6" w:rsidRDefault="00CF3FD1" w:rsidP="00B67BF3">
      <w:pPr>
        <w:pStyle w:val="BodyText"/>
        <w:spacing w:after="0"/>
        <w:ind w:left="0"/>
        <w:outlineLvl w:val="0"/>
        <w:rPr>
          <w:rStyle w:val="Emphasis"/>
          <w:rFonts w:cs="Arial"/>
          <w:b/>
          <w:i w:val="0"/>
          <w:szCs w:val="22"/>
        </w:rPr>
      </w:pPr>
    </w:p>
    <w:tbl>
      <w:tblPr>
        <w:tblpPr w:leftFromText="180" w:rightFromText="180" w:vertAnchor="text" w:horzAnchor="margin" w:tblpXSpec="center" w:tblpY="69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8180"/>
      </w:tblGrid>
      <w:tr w:rsidR="00737A97" w:rsidRPr="00CC1359" w14:paraId="7C281666" w14:textId="77777777" w:rsidTr="00730507">
        <w:trPr>
          <w:trHeight w:val="560"/>
        </w:trPr>
        <w:tc>
          <w:tcPr>
            <w:tcW w:w="2424" w:type="dxa"/>
            <w:shd w:val="clear" w:color="auto" w:fill="D9D9D9"/>
            <w:vAlign w:val="center"/>
          </w:tcPr>
          <w:p w14:paraId="5379F2C9" w14:textId="77777777" w:rsidR="00737A97" w:rsidRPr="00CC1359" w:rsidRDefault="00737A97" w:rsidP="00730507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80" w:type="dxa"/>
            <w:shd w:val="clear" w:color="auto" w:fill="auto"/>
          </w:tcPr>
          <w:p w14:paraId="0863EA81" w14:textId="77777777" w:rsidR="00737A97" w:rsidRPr="008E69D8" w:rsidRDefault="00737A97" w:rsidP="00730507">
            <w:r>
              <w:t xml:space="preserve">Technician </w:t>
            </w:r>
          </w:p>
        </w:tc>
      </w:tr>
      <w:tr w:rsidR="00737A97" w:rsidRPr="00CC1359" w14:paraId="37BFB7D1" w14:textId="77777777" w:rsidTr="00730507">
        <w:trPr>
          <w:trHeight w:val="560"/>
        </w:trPr>
        <w:tc>
          <w:tcPr>
            <w:tcW w:w="2424" w:type="dxa"/>
            <w:shd w:val="clear" w:color="auto" w:fill="D9D9D9"/>
            <w:vAlign w:val="center"/>
          </w:tcPr>
          <w:p w14:paraId="28F04875" w14:textId="77777777" w:rsidR="00737A97" w:rsidRDefault="00737A97" w:rsidP="00730507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180" w:type="dxa"/>
            <w:shd w:val="clear" w:color="auto" w:fill="auto"/>
          </w:tcPr>
          <w:p w14:paraId="25187EA8" w14:textId="252DB7BD" w:rsidR="00737A97" w:rsidRPr="008E69D8" w:rsidRDefault="00737A97" w:rsidP="00730507">
            <w:r>
              <w:t xml:space="preserve"> </w:t>
            </w:r>
            <w:r w:rsidR="00377952">
              <w:t>Professional Services Grade 3</w:t>
            </w:r>
          </w:p>
        </w:tc>
      </w:tr>
      <w:tr w:rsidR="00737A97" w:rsidRPr="00CC1359" w14:paraId="7E1D0E6F" w14:textId="77777777" w:rsidTr="00730507">
        <w:trPr>
          <w:trHeight w:val="560"/>
        </w:trPr>
        <w:tc>
          <w:tcPr>
            <w:tcW w:w="2424" w:type="dxa"/>
            <w:shd w:val="clear" w:color="auto" w:fill="D9D9D9"/>
            <w:vAlign w:val="center"/>
          </w:tcPr>
          <w:p w14:paraId="7C2BE311" w14:textId="77777777" w:rsidR="00737A97" w:rsidRDefault="00737A97" w:rsidP="00730507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80" w:type="dxa"/>
            <w:shd w:val="clear" w:color="auto" w:fill="auto"/>
          </w:tcPr>
          <w:p w14:paraId="3AB2F2E5" w14:textId="77777777" w:rsidR="00737A97" w:rsidRPr="008E69D8" w:rsidRDefault="00737A97" w:rsidP="00730507">
            <w:r>
              <w:t xml:space="preserve">Head of Department </w:t>
            </w:r>
          </w:p>
        </w:tc>
      </w:tr>
    </w:tbl>
    <w:p w14:paraId="578E61C0" w14:textId="77777777" w:rsidR="008947C0" w:rsidRDefault="008947C0" w:rsidP="00023E9B">
      <w:pPr>
        <w:outlineLvl w:val="1"/>
        <w:rPr>
          <w:b/>
          <w:szCs w:val="22"/>
        </w:rPr>
      </w:pPr>
    </w:p>
    <w:p w14:paraId="188F12A8" w14:textId="671624CB" w:rsidR="006C326C" w:rsidRDefault="00737A97" w:rsidP="00023E9B">
      <w:pPr>
        <w:outlineLvl w:val="1"/>
        <w:rPr>
          <w:b/>
          <w:szCs w:val="22"/>
        </w:rPr>
      </w:pPr>
      <w:r>
        <w:rPr>
          <w:b/>
          <w:szCs w:val="22"/>
        </w:rPr>
        <w:t>Job</w:t>
      </w:r>
      <w:r w:rsidR="00023E9B" w:rsidRPr="00023E9B">
        <w:rPr>
          <w:b/>
          <w:szCs w:val="22"/>
        </w:rPr>
        <w:t xml:space="preserve"> Purpose</w:t>
      </w:r>
      <w:r w:rsidR="00D04639">
        <w:rPr>
          <w:b/>
          <w:szCs w:val="22"/>
        </w:rPr>
        <w:t xml:space="preserve"> </w:t>
      </w:r>
    </w:p>
    <w:p w14:paraId="43CB7D8A" w14:textId="77777777" w:rsidR="006C326C" w:rsidRDefault="006C326C" w:rsidP="00023E9B">
      <w:pPr>
        <w:outlineLvl w:val="1"/>
        <w:rPr>
          <w:b/>
          <w:szCs w:val="22"/>
        </w:rPr>
      </w:pPr>
    </w:p>
    <w:p w14:paraId="709BEE0C" w14:textId="77777777" w:rsidR="00023E9B" w:rsidRDefault="00FC34DC" w:rsidP="00023E9B">
      <w:pPr>
        <w:outlineLvl w:val="1"/>
        <w:rPr>
          <w:b/>
          <w:caps/>
          <w:szCs w:val="22"/>
        </w:rPr>
      </w:pPr>
      <w:r>
        <w:rPr>
          <w:szCs w:val="22"/>
        </w:rPr>
        <w:t xml:space="preserve">To support the </w:t>
      </w:r>
      <w:r w:rsidR="007C6EF0">
        <w:rPr>
          <w:szCs w:val="22"/>
        </w:rPr>
        <w:t>Curriculum Area</w:t>
      </w:r>
      <w:r>
        <w:rPr>
          <w:szCs w:val="22"/>
        </w:rPr>
        <w:t xml:space="preserve"> by working with staff and students in the workshop environment, ensuring equipment and resources are available to support student learning.</w:t>
      </w:r>
    </w:p>
    <w:p w14:paraId="2908372D" w14:textId="77777777" w:rsidR="006C326C" w:rsidRDefault="006C326C" w:rsidP="00023E9B">
      <w:pPr>
        <w:outlineLvl w:val="1"/>
        <w:rPr>
          <w:b/>
          <w:caps/>
          <w:szCs w:val="22"/>
        </w:rPr>
      </w:pPr>
    </w:p>
    <w:p w14:paraId="11CA73D5" w14:textId="77777777" w:rsidR="002B0CF9" w:rsidRDefault="002B0CF9" w:rsidP="00B67BF3">
      <w:pPr>
        <w:rPr>
          <w:b/>
          <w:szCs w:val="22"/>
        </w:rPr>
      </w:pPr>
    </w:p>
    <w:p w14:paraId="3B3973B8" w14:textId="72E9E386" w:rsidR="00212EEB" w:rsidRDefault="00212EEB" w:rsidP="00B67BF3">
      <w:pPr>
        <w:rPr>
          <w:b/>
          <w:szCs w:val="22"/>
        </w:rPr>
      </w:pPr>
      <w:r w:rsidRPr="00C434D6">
        <w:rPr>
          <w:b/>
          <w:szCs w:val="22"/>
        </w:rPr>
        <w:t>Main Duties and Responsibilities</w:t>
      </w:r>
    </w:p>
    <w:p w14:paraId="2619206E" w14:textId="77777777" w:rsidR="00E36F25" w:rsidRDefault="00E36F25" w:rsidP="00B67BF3">
      <w:pPr>
        <w:rPr>
          <w:b/>
          <w:szCs w:val="22"/>
        </w:rPr>
      </w:pPr>
    </w:p>
    <w:p w14:paraId="2CFDD37C" w14:textId="77777777" w:rsidR="002A6706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demonstrations in the use of equipment, materials and </w:t>
      </w:r>
      <w:r w:rsidR="008B1621" w:rsidRPr="008F169E">
        <w:rPr>
          <w:rFonts w:ascii="Arial" w:hAnsi="Arial" w:cs="Arial"/>
          <w:sz w:val="22"/>
          <w:szCs w:val="22"/>
        </w:rPr>
        <w:t xml:space="preserve">curriculum area </w:t>
      </w:r>
      <w:r>
        <w:rPr>
          <w:rFonts w:ascii="Arial" w:hAnsi="Arial" w:cs="Arial"/>
          <w:sz w:val="22"/>
          <w:szCs w:val="22"/>
        </w:rPr>
        <w:t xml:space="preserve"> techniques</w:t>
      </w:r>
    </w:p>
    <w:p w14:paraId="20A70661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the preparation of teaching materials, setting up and dismantling of workshop assessments</w:t>
      </w:r>
    </w:p>
    <w:p w14:paraId="42AC71E8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workshop equip</w:t>
      </w:r>
      <w:r w:rsidR="007A3DE3">
        <w:rPr>
          <w:rFonts w:ascii="Arial" w:hAnsi="Arial" w:cs="Arial"/>
          <w:sz w:val="22"/>
          <w:szCs w:val="22"/>
        </w:rPr>
        <w:t>ment is in working order ready</w:t>
      </w:r>
      <w:r>
        <w:rPr>
          <w:rFonts w:ascii="Arial" w:hAnsi="Arial" w:cs="Arial"/>
          <w:sz w:val="22"/>
          <w:szCs w:val="22"/>
        </w:rPr>
        <w:t xml:space="preserve"> for learning sessions</w:t>
      </w:r>
    </w:p>
    <w:p w14:paraId="6C9AB3BC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keep up-to-date inventories and records of equipment and materials</w:t>
      </w:r>
    </w:p>
    <w:p w14:paraId="05EE2711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technical support to students </w:t>
      </w:r>
    </w:p>
    <w:p w14:paraId="1C5D5CB8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workshops and ancillary areas clean and in a fit and safe condition for use</w:t>
      </w:r>
    </w:p>
    <w:p w14:paraId="44BAB265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health and safety of students in the use of equipment and materials</w:t>
      </w:r>
    </w:p>
    <w:p w14:paraId="495AA555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and advise on modification to existing equipment and design and construct such equipment as may be required by the teaching staff</w:t>
      </w:r>
    </w:p>
    <w:p w14:paraId="35858326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Operate equipment and machines, carrying out routine maintenance and adjustments as appropriate</w:t>
      </w:r>
    </w:p>
    <w:p w14:paraId="5E051767" w14:textId="77777777" w:rsidR="00FC34DC" w:rsidRPr="00FC34DC" w:rsidRDefault="00FC34DC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stock levels and manage replacement of stock as and when required</w:t>
      </w:r>
    </w:p>
    <w:p w14:paraId="045FB904" w14:textId="77777777" w:rsidR="00FC34DC" w:rsidRPr="00C716B9" w:rsidRDefault="008F169E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</w:t>
      </w:r>
      <w:r w:rsidR="00FC34DC">
        <w:rPr>
          <w:rFonts w:ascii="Arial" w:hAnsi="Arial" w:cs="Arial"/>
          <w:sz w:val="22"/>
          <w:szCs w:val="22"/>
        </w:rPr>
        <w:t xml:space="preserve"> safe systems for stor</w:t>
      </w:r>
      <w:r w:rsidR="00C716B9">
        <w:rPr>
          <w:rFonts w:ascii="Arial" w:hAnsi="Arial" w:cs="Arial"/>
          <w:sz w:val="22"/>
          <w:szCs w:val="22"/>
        </w:rPr>
        <w:t>age of materials and equipment</w:t>
      </w:r>
    </w:p>
    <w:p w14:paraId="674985D3" w14:textId="77777777" w:rsidR="00E01DE3" w:rsidRPr="00C716B9" w:rsidRDefault="00C716B9" w:rsidP="00737A9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cross-college support as required by the other technician teams</w:t>
      </w:r>
    </w:p>
    <w:p w14:paraId="00FC5109" w14:textId="35023296" w:rsidR="008947C0" w:rsidRPr="00FB7417" w:rsidRDefault="008947C0" w:rsidP="00FB7417">
      <w:pPr>
        <w:tabs>
          <w:tab w:val="left" w:pos="720"/>
        </w:tabs>
        <w:jc w:val="both"/>
        <w:rPr>
          <w:b/>
          <w:bCs w:val="0"/>
          <w:szCs w:val="22"/>
        </w:rPr>
      </w:pPr>
    </w:p>
    <w:p w14:paraId="79230329" w14:textId="77777777" w:rsidR="002B0CF9" w:rsidRDefault="002B0CF9" w:rsidP="008947C0">
      <w:pPr>
        <w:tabs>
          <w:tab w:val="left" w:pos="720"/>
        </w:tabs>
        <w:contextualSpacing/>
        <w:rPr>
          <w:b/>
          <w:szCs w:val="22"/>
        </w:rPr>
      </w:pPr>
    </w:p>
    <w:p w14:paraId="4DBA9699" w14:textId="098CC9B6" w:rsidR="008947C0" w:rsidRPr="00D02766" w:rsidRDefault="008947C0" w:rsidP="008947C0">
      <w:pPr>
        <w:tabs>
          <w:tab w:val="left" w:pos="720"/>
        </w:tabs>
        <w:contextualSpacing/>
        <w:rPr>
          <w:b/>
          <w:bCs w:val="0"/>
          <w:szCs w:val="22"/>
        </w:rPr>
      </w:pPr>
      <w:r w:rsidRPr="00D02766">
        <w:rPr>
          <w:b/>
          <w:szCs w:val="22"/>
        </w:rPr>
        <w:t>General</w:t>
      </w:r>
    </w:p>
    <w:p w14:paraId="0A30401B" w14:textId="77777777" w:rsidR="008947C0" w:rsidRPr="00D02766" w:rsidRDefault="008947C0" w:rsidP="008947C0">
      <w:pPr>
        <w:tabs>
          <w:tab w:val="left" w:pos="720"/>
        </w:tabs>
        <w:ind w:left="714" w:hanging="357"/>
        <w:contextualSpacing/>
        <w:jc w:val="both"/>
        <w:rPr>
          <w:b/>
          <w:bCs w:val="0"/>
          <w:szCs w:val="22"/>
        </w:rPr>
      </w:pPr>
    </w:p>
    <w:p w14:paraId="7818068D" w14:textId="77777777" w:rsidR="008947C0" w:rsidRPr="002B0CF9" w:rsidRDefault="008947C0" w:rsidP="002B0CF9">
      <w:pPr>
        <w:pStyle w:val="ListParagraph"/>
        <w:numPr>
          <w:ilvl w:val="0"/>
          <w:numId w:val="23"/>
        </w:numPr>
        <w:tabs>
          <w:tab w:val="left" w:pos="720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Hlk16676965"/>
      <w:r w:rsidRPr="002B0CF9">
        <w:rPr>
          <w:rFonts w:ascii="Arial" w:eastAsia="Calibri" w:hAnsi="Arial" w:cs="Arial"/>
          <w:sz w:val="22"/>
          <w:szCs w:val="22"/>
        </w:rPr>
        <w:t>To undertake any further training as identified in the college review procedures.</w:t>
      </w:r>
    </w:p>
    <w:p w14:paraId="4CC038A5" w14:textId="77777777" w:rsidR="008947C0" w:rsidRPr="002B0CF9" w:rsidRDefault="008947C0" w:rsidP="002B0CF9">
      <w:pPr>
        <w:pStyle w:val="ListParagraph"/>
        <w:keepNext/>
        <w:numPr>
          <w:ilvl w:val="0"/>
          <w:numId w:val="23"/>
        </w:numPr>
        <w:tabs>
          <w:tab w:val="left" w:pos="720"/>
        </w:tabs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2B0CF9">
        <w:rPr>
          <w:rFonts w:ascii="Arial" w:hAnsi="Arial" w:cs="Arial"/>
          <w:sz w:val="22"/>
          <w:szCs w:val="22"/>
        </w:rPr>
        <w:t>To participate fully in college Quality Procedures.</w:t>
      </w:r>
    </w:p>
    <w:p w14:paraId="054A01AA" w14:textId="77777777" w:rsidR="008947C0" w:rsidRPr="002B0CF9" w:rsidRDefault="008947C0" w:rsidP="002B0CF9">
      <w:pPr>
        <w:pStyle w:val="ListParagraph"/>
        <w:keepNext/>
        <w:numPr>
          <w:ilvl w:val="0"/>
          <w:numId w:val="23"/>
        </w:numPr>
        <w:tabs>
          <w:tab w:val="left" w:pos="720"/>
        </w:tabs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2B0CF9">
        <w:rPr>
          <w:rFonts w:ascii="Arial" w:hAnsi="Arial" w:cs="Arial"/>
          <w:sz w:val="22"/>
          <w:szCs w:val="22"/>
        </w:rPr>
        <w:t>Ensure that safe working practices are followed in respect of COSHH and other Risk Assessment control measures.</w:t>
      </w:r>
    </w:p>
    <w:p w14:paraId="032E8392" w14:textId="77777777" w:rsidR="008947C0" w:rsidRPr="002B0CF9" w:rsidRDefault="008947C0" w:rsidP="002B0CF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2B0CF9">
        <w:rPr>
          <w:rFonts w:ascii="Arial" w:eastAsia="Calibri" w:hAnsi="Arial" w:cs="Arial"/>
          <w:sz w:val="22"/>
          <w:szCs w:val="22"/>
        </w:rPr>
        <w:t>To comply with and promote college Health and Safety policies and take appropriate responsibility to ensure the health and safety of self and others.</w:t>
      </w:r>
    </w:p>
    <w:p w14:paraId="2A7A1CFB" w14:textId="77777777" w:rsidR="008947C0" w:rsidRPr="002B0CF9" w:rsidRDefault="008947C0" w:rsidP="002B0CF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2B0CF9">
        <w:rPr>
          <w:rFonts w:ascii="Arial" w:eastAsia="Calibri" w:hAnsi="Arial" w:cs="Arial"/>
          <w:sz w:val="22"/>
          <w:szCs w:val="22"/>
        </w:rPr>
        <w:t>To understand, comply with and promote the college’s Safeguarding policy and procedures.</w:t>
      </w:r>
    </w:p>
    <w:p w14:paraId="29B691B8" w14:textId="77777777" w:rsidR="008947C0" w:rsidRPr="002B0CF9" w:rsidRDefault="008947C0" w:rsidP="002B0CF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2B0CF9">
        <w:rPr>
          <w:rFonts w:ascii="Arial" w:eastAsia="Calibri" w:hAnsi="Arial" w:cs="Arial"/>
          <w:sz w:val="22"/>
          <w:szCs w:val="22"/>
        </w:rPr>
        <w:t>To understand, comply with and promote the college’s Diversity policies and procedures.</w:t>
      </w:r>
    </w:p>
    <w:p w14:paraId="5C0103BA" w14:textId="77777777" w:rsidR="008947C0" w:rsidRPr="002B0CF9" w:rsidRDefault="008947C0" w:rsidP="002B0CF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2B0CF9">
        <w:rPr>
          <w:rFonts w:ascii="Arial" w:eastAsia="Calibri" w:hAnsi="Arial" w:cs="Arial"/>
          <w:sz w:val="22"/>
          <w:szCs w:val="22"/>
        </w:rPr>
        <w:t>To engage in continuous professional development.</w:t>
      </w:r>
    </w:p>
    <w:p w14:paraId="2DF8E624" w14:textId="77777777" w:rsidR="008947C0" w:rsidRPr="002B0CF9" w:rsidRDefault="008947C0" w:rsidP="002B0CF9">
      <w:pPr>
        <w:pStyle w:val="ListParagraph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2B0CF9">
        <w:rPr>
          <w:rFonts w:ascii="Arial" w:eastAsia="Calibri" w:hAnsi="Arial" w:cs="Arial"/>
          <w:sz w:val="22"/>
          <w:szCs w:val="22"/>
          <w:lang w:val="en-US" w:eastAsia="en-GB"/>
        </w:rPr>
        <w:t>To undertake such other reasonable duties as may be required from time to time and review this Job Description at least annually through the college PDR scheme.</w:t>
      </w:r>
      <w:bookmarkEnd w:id="0"/>
    </w:p>
    <w:p w14:paraId="3B613D31" w14:textId="77777777" w:rsidR="00FB7417" w:rsidRDefault="00FB7417" w:rsidP="00576F97">
      <w:pPr>
        <w:rPr>
          <w:color w:val="000000" w:themeColor="text1"/>
          <w:szCs w:val="22"/>
        </w:rPr>
      </w:pPr>
    </w:p>
    <w:p w14:paraId="191909EC" w14:textId="15641408" w:rsidR="00696C9A" w:rsidRPr="00737A97" w:rsidRDefault="00576F97" w:rsidP="00576F97">
      <w:pPr>
        <w:rPr>
          <w:szCs w:val="22"/>
        </w:rPr>
      </w:pPr>
      <w:r w:rsidRPr="00576F97">
        <w:rPr>
          <w:rFonts w:eastAsiaTheme="majorEastAsia"/>
          <w:b/>
          <w:bCs w:val="0"/>
          <w:szCs w:val="22"/>
        </w:rPr>
        <w:t>PERSON SPECIFICATION</w:t>
      </w:r>
      <w:r w:rsidR="00737A97">
        <w:rPr>
          <w:szCs w:val="22"/>
        </w:rPr>
        <w:t xml:space="preserve">  </w:t>
      </w:r>
      <w:r w:rsidRPr="00737A97">
        <w:rPr>
          <w:rFonts w:eastAsiaTheme="majorEastAsia"/>
          <w:bCs w:val="0"/>
          <w:szCs w:val="22"/>
        </w:rPr>
        <w:t>(E = Essential  D = Desirable)</w:t>
      </w:r>
    </w:p>
    <w:p w14:paraId="709E542F" w14:textId="77777777" w:rsidR="008B1621" w:rsidRPr="00E42A33" w:rsidRDefault="008B1621" w:rsidP="00576F97">
      <w:pPr>
        <w:rPr>
          <w:rFonts w:asciiTheme="minorHAnsi" w:hAnsiTheme="minorHAnsi" w:cstheme="minorHAnsi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2"/>
        <w:gridCol w:w="708"/>
        <w:gridCol w:w="709"/>
        <w:gridCol w:w="567"/>
      </w:tblGrid>
      <w:tr w:rsidR="00737A97" w:rsidRPr="007042DB" w14:paraId="2ED6C6AA" w14:textId="77777777" w:rsidTr="002B0CF9">
        <w:trPr>
          <w:cantSplit/>
          <w:trHeight w:val="1497"/>
        </w:trPr>
        <w:tc>
          <w:tcPr>
            <w:tcW w:w="7792" w:type="dxa"/>
          </w:tcPr>
          <w:p w14:paraId="55FFCE95" w14:textId="77777777" w:rsidR="002B0CF9" w:rsidRDefault="002B0CF9" w:rsidP="00730507">
            <w:pPr>
              <w:rPr>
                <w:b/>
                <w:szCs w:val="22"/>
              </w:rPr>
            </w:pPr>
          </w:p>
          <w:p w14:paraId="05108AC9" w14:textId="517D7BB6" w:rsidR="00737A97" w:rsidRPr="007042DB" w:rsidRDefault="00737A97" w:rsidP="00730507">
            <w:pPr>
              <w:rPr>
                <w:b/>
                <w:szCs w:val="22"/>
              </w:rPr>
            </w:pPr>
            <w:r w:rsidRPr="007042DB">
              <w:rPr>
                <w:b/>
                <w:szCs w:val="22"/>
              </w:rPr>
              <w:t>Method of Assessment</w:t>
            </w:r>
          </w:p>
          <w:p w14:paraId="41E3DAC9" w14:textId="77777777" w:rsidR="002B0CF9" w:rsidRDefault="002B0CF9" w:rsidP="00730507">
            <w:pPr>
              <w:rPr>
                <w:szCs w:val="22"/>
              </w:rPr>
            </w:pPr>
          </w:p>
          <w:p w14:paraId="66A8F04C" w14:textId="51A4FF52" w:rsidR="00737A97" w:rsidRPr="007042DB" w:rsidRDefault="00737A97" w:rsidP="00730507">
            <w:pPr>
              <w:rPr>
                <w:szCs w:val="22"/>
              </w:rPr>
            </w:pPr>
            <w:r w:rsidRPr="007042DB">
              <w:rPr>
                <w:szCs w:val="22"/>
              </w:rPr>
              <w:t>The table indicates the method by which the skills/knowledge/level of competence in each area will be assessed.</w:t>
            </w:r>
          </w:p>
        </w:tc>
        <w:tc>
          <w:tcPr>
            <w:tcW w:w="708" w:type="dxa"/>
            <w:textDirection w:val="btLr"/>
          </w:tcPr>
          <w:p w14:paraId="7A17850C" w14:textId="77777777" w:rsidR="00737A97" w:rsidRPr="007042DB" w:rsidRDefault="00737A97" w:rsidP="00730507">
            <w:pPr>
              <w:ind w:left="113" w:right="113"/>
              <w:rPr>
                <w:b/>
                <w:szCs w:val="22"/>
              </w:rPr>
            </w:pPr>
            <w:r w:rsidRPr="007042DB">
              <w:rPr>
                <w:b/>
                <w:szCs w:val="22"/>
              </w:rPr>
              <w:t>Essential or Desirable</w:t>
            </w:r>
          </w:p>
        </w:tc>
        <w:tc>
          <w:tcPr>
            <w:tcW w:w="709" w:type="dxa"/>
            <w:textDirection w:val="btLr"/>
          </w:tcPr>
          <w:p w14:paraId="73581DB5" w14:textId="77777777" w:rsidR="00737A97" w:rsidRPr="007042DB" w:rsidRDefault="00737A97" w:rsidP="00730507">
            <w:pPr>
              <w:ind w:left="113" w:right="113"/>
              <w:rPr>
                <w:b/>
                <w:szCs w:val="22"/>
              </w:rPr>
            </w:pPr>
            <w:r w:rsidRPr="007042DB">
              <w:rPr>
                <w:b/>
                <w:szCs w:val="22"/>
              </w:rPr>
              <w:t>Application Form</w:t>
            </w:r>
          </w:p>
        </w:tc>
        <w:tc>
          <w:tcPr>
            <w:tcW w:w="567" w:type="dxa"/>
            <w:textDirection w:val="btLr"/>
          </w:tcPr>
          <w:p w14:paraId="1678AECE" w14:textId="77777777" w:rsidR="00737A97" w:rsidRPr="007042DB" w:rsidRDefault="00737A97" w:rsidP="00730507">
            <w:pPr>
              <w:ind w:left="113" w:right="113"/>
              <w:rPr>
                <w:b/>
                <w:szCs w:val="22"/>
              </w:rPr>
            </w:pPr>
            <w:r w:rsidRPr="007042DB">
              <w:rPr>
                <w:b/>
                <w:szCs w:val="22"/>
              </w:rPr>
              <w:t>Interview</w:t>
            </w:r>
          </w:p>
        </w:tc>
      </w:tr>
      <w:tr w:rsidR="00737A97" w:rsidRPr="007042DB" w14:paraId="349C3357" w14:textId="77777777" w:rsidTr="002B0CF9">
        <w:trPr>
          <w:trHeight w:val="419"/>
        </w:trPr>
        <w:tc>
          <w:tcPr>
            <w:tcW w:w="7792" w:type="dxa"/>
            <w:shd w:val="clear" w:color="auto" w:fill="D9D9D9" w:themeFill="background1" w:themeFillShade="D9"/>
          </w:tcPr>
          <w:p w14:paraId="00903995" w14:textId="77777777" w:rsidR="00737A97" w:rsidRPr="007042DB" w:rsidRDefault="00737A97" w:rsidP="00730507">
            <w:pPr>
              <w:rPr>
                <w:b/>
                <w:szCs w:val="22"/>
              </w:rPr>
            </w:pPr>
            <w:r w:rsidRPr="007042DB">
              <w:rPr>
                <w:b/>
                <w:szCs w:val="22"/>
              </w:rPr>
              <w:t>Qualifications</w:t>
            </w:r>
          </w:p>
        </w:tc>
        <w:tc>
          <w:tcPr>
            <w:tcW w:w="708" w:type="dxa"/>
          </w:tcPr>
          <w:p w14:paraId="37FDCA18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</w:tcPr>
          <w:p w14:paraId="1E3EC0B5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6873915B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  <w:tr w:rsidR="00737A97" w:rsidRPr="007042DB" w14:paraId="436254E3" w14:textId="77777777" w:rsidTr="002B0CF9">
        <w:trPr>
          <w:trHeight w:val="425"/>
        </w:trPr>
        <w:tc>
          <w:tcPr>
            <w:tcW w:w="7792" w:type="dxa"/>
          </w:tcPr>
          <w:p w14:paraId="676A5DEE" w14:textId="77777777" w:rsidR="00737A97" w:rsidRPr="007042DB" w:rsidRDefault="00737A97" w:rsidP="00730507">
            <w:pPr>
              <w:tabs>
                <w:tab w:val="num" w:pos="459"/>
              </w:tabs>
              <w:rPr>
                <w:szCs w:val="22"/>
              </w:rPr>
            </w:pPr>
            <w:r>
              <w:rPr>
                <w:szCs w:val="22"/>
              </w:rPr>
              <w:t xml:space="preserve">To hold an Level 2 (GCSE A-C) qualification in English and maths </w:t>
            </w:r>
          </w:p>
        </w:tc>
        <w:tc>
          <w:tcPr>
            <w:tcW w:w="708" w:type="dxa"/>
          </w:tcPr>
          <w:p w14:paraId="76A25EAE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4E1736A4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6B980E1D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45B6C9FE" w14:textId="77777777" w:rsidTr="002B0CF9">
        <w:trPr>
          <w:trHeight w:val="416"/>
        </w:trPr>
        <w:tc>
          <w:tcPr>
            <w:tcW w:w="7792" w:type="dxa"/>
          </w:tcPr>
          <w:p w14:paraId="2E5F671A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>To hold an Level 3 or above NVQ qualification with the specialism subject</w:t>
            </w:r>
          </w:p>
        </w:tc>
        <w:tc>
          <w:tcPr>
            <w:tcW w:w="708" w:type="dxa"/>
          </w:tcPr>
          <w:p w14:paraId="1D0313BC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1A18CB1F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4435241A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3DDCC331" w14:textId="77777777" w:rsidTr="002B0CF9">
        <w:trPr>
          <w:trHeight w:val="421"/>
        </w:trPr>
        <w:tc>
          <w:tcPr>
            <w:tcW w:w="7792" w:type="dxa"/>
            <w:shd w:val="clear" w:color="auto" w:fill="D9D9D9" w:themeFill="background1" w:themeFillShade="D9"/>
          </w:tcPr>
          <w:p w14:paraId="106FF93B" w14:textId="77777777" w:rsidR="00737A97" w:rsidRPr="007042DB" w:rsidRDefault="00737A97" w:rsidP="00730507">
            <w:pPr>
              <w:rPr>
                <w:i/>
                <w:szCs w:val="22"/>
              </w:rPr>
            </w:pPr>
            <w:r w:rsidRPr="007042DB">
              <w:rPr>
                <w:b/>
                <w:szCs w:val="22"/>
              </w:rPr>
              <w:t>Knowledge / Previous Experience / Skills</w:t>
            </w:r>
            <w:r>
              <w:rPr>
                <w:b/>
                <w:szCs w:val="22"/>
              </w:rPr>
              <w:t xml:space="preserve"> / Ability</w:t>
            </w:r>
          </w:p>
        </w:tc>
        <w:tc>
          <w:tcPr>
            <w:tcW w:w="708" w:type="dxa"/>
          </w:tcPr>
          <w:p w14:paraId="32B90BC0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</w:tcPr>
          <w:p w14:paraId="00048AE3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4950DA8A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  <w:tr w:rsidR="00737A97" w:rsidRPr="007042DB" w14:paraId="6EE2C547" w14:textId="77777777" w:rsidTr="002B0CF9">
        <w:trPr>
          <w:trHeight w:val="419"/>
        </w:trPr>
        <w:tc>
          <w:tcPr>
            <w:tcW w:w="7792" w:type="dxa"/>
          </w:tcPr>
          <w:p w14:paraId="5938F515" w14:textId="77777777" w:rsidR="00737A97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 xml:space="preserve">Ability to demonstrate recent and relevant experience of the curriculum area </w:t>
            </w:r>
          </w:p>
        </w:tc>
        <w:tc>
          <w:tcPr>
            <w:tcW w:w="708" w:type="dxa"/>
          </w:tcPr>
          <w:p w14:paraId="791F0F00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378F742D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1568C1E2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6E59C4DF" w14:textId="77777777" w:rsidTr="002B0CF9">
        <w:trPr>
          <w:trHeight w:val="419"/>
        </w:trPr>
        <w:tc>
          <w:tcPr>
            <w:tcW w:w="7792" w:type="dxa"/>
          </w:tcPr>
          <w:p w14:paraId="0CB72E41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>Experience of flexible working routines</w:t>
            </w:r>
          </w:p>
        </w:tc>
        <w:tc>
          <w:tcPr>
            <w:tcW w:w="708" w:type="dxa"/>
          </w:tcPr>
          <w:p w14:paraId="6A763805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545011CC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1EC7B43A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78A2F066" w14:textId="77777777" w:rsidTr="002B0CF9">
        <w:trPr>
          <w:trHeight w:val="470"/>
        </w:trPr>
        <w:tc>
          <w:tcPr>
            <w:tcW w:w="7792" w:type="dxa"/>
          </w:tcPr>
          <w:p w14:paraId="04E29ADF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 xml:space="preserve">Knowledge of the ordering and supply of equipment and materials </w:t>
            </w:r>
          </w:p>
        </w:tc>
        <w:tc>
          <w:tcPr>
            <w:tcW w:w="708" w:type="dxa"/>
          </w:tcPr>
          <w:p w14:paraId="045C1A3B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709" w:type="dxa"/>
          </w:tcPr>
          <w:p w14:paraId="5C670C45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784E8DCD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280A4BC6" w14:textId="77777777" w:rsidTr="002B0CF9">
        <w:trPr>
          <w:trHeight w:val="421"/>
        </w:trPr>
        <w:tc>
          <w:tcPr>
            <w:tcW w:w="7792" w:type="dxa"/>
          </w:tcPr>
          <w:p w14:paraId="1DED6DDF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>Knowledge of Health and Safety and COSHH regulations</w:t>
            </w:r>
          </w:p>
        </w:tc>
        <w:tc>
          <w:tcPr>
            <w:tcW w:w="708" w:type="dxa"/>
          </w:tcPr>
          <w:p w14:paraId="389CBE62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709" w:type="dxa"/>
          </w:tcPr>
          <w:p w14:paraId="70407C2E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74E8F4F5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414A51B7" w14:textId="77777777" w:rsidTr="002B0CF9">
        <w:trPr>
          <w:trHeight w:val="427"/>
        </w:trPr>
        <w:tc>
          <w:tcPr>
            <w:tcW w:w="7792" w:type="dxa"/>
          </w:tcPr>
          <w:p w14:paraId="2E09ACA5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>Experience of working with young people aged 14+</w:t>
            </w:r>
          </w:p>
        </w:tc>
        <w:tc>
          <w:tcPr>
            <w:tcW w:w="708" w:type="dxa"/>
          </w:tcPr>
          <w:p w14:paraId="4430F4E2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709" w:type="dxa"/>
          </w:tcPr>
          <w:p w14:paraId="252F4BC2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67" w:type="dxa"/>
          </w:tcPr>
          <w:p w14:paraId="227A1A29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40783B49" w14:textId="77777777" w:rsidTr="002B0CF9">
        <w:trPr>
          <w:trHeight w:val="419"/>
        </w:trPr>
        <w:tc>
          <w:tcPr>
            <w:tcW w:w="7792" w:type="dxa"/>
            <w:shd w:val="clear" w:color="auto" w:fill="D9D9D9" w:themeFill="background1" w:themeFillShade="D9"/>
          </w:tcPr>
          <w:p w14:paraId="5B2DA382" w14:textId="77777777" w:rsidR="00737A97" w:rsidRPr="007042DB" w:rsidRDefault="00737A97" w:rsidP="00730507">
            <w:pPr>
              <w:rPr>
                <w:szCs w:val="22"/>
              </w:rPr>
            </w:pPr>
            <w:r w:rsidRPr="007042DB">
              <w:rPr>
                <w:b/>
                <w:szCs w:val="22"/>
              </w:rPr>
              <w:t>Personal Attributes</w:t>
            </w:r>
          </w:p>
        </w:tc>
        <w:tc>
          <w:tcPr>
            <w:tcW w:w="708" w:type="dxa"/>
          </w:tcPr>
          <w:p w14:paraId="00E69DC1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</w:tcPr>
          <w:p w14:paraId="2A3E9B54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3ED9B16B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  <w:tr w:rsidR="00737A97" w:rsidRPr="007042DB" w14:paraId="21C4BDDC" w14:textId="77777777" w:rsidTr="002B0CF9">
        <w:trPr>
          <w:trHeight w:val="419"/>
        </w:trPr>
        <w:tc>
          <w:tcPr>
            <w:tcW w:w="7792" w:type="dxa"/>
          </w:tcPr>
          <w:p w14:paraId="5F8746C5" w14:textId="77777777" w:rsidR="00737A97" w:rsidRPr="007D3809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 xml:space="preserve">Ability to write notes using correct grammar, punctuation and spelling to a high degree of accuracy and presentation </w:t>
            </w:r>
          </w:p>
        </w:tc>
        <w:tc>
          <w:tcPr>
            <w:tcW w:w="708" w:type="dxa"/>
          </w:tcPr>
          <w:p w14:paraId="63B2D8F1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5F398C89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3DD14EB1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27D7EFB3" w14:textId="77777777" w:rsidTr="002B0CF9">
        <w:trPr>
          <w:trHeight w:val="419"/>
        </w:trPr>
        <w:tc>
          <w:tcPr>
            <w:tcW w:w="7792" w:type="dxa"/>
          </w:tcPr>
          <w:p w14:paraId="13B4676F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 xml:space="preserve">Confidence to work with a wide range of people </w:t>
            </w:r>
          </w:p>
        </w:tc>
        <w:tc>
          <w:tcPr>
            <w:tcW w:w="708" w:type="dxa"/>
          </w:tcPr>
          <w:p w14:paraId="0AF0BDE2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50B12F30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386C2519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163EFB3D" w14:textId="77777777" w:rsidTr="002B0CF9">
        <w:trPr>
          <w:trHeight w:val="410"/>
        </w:trPr>
        <w:tc>
          <w:tcPr>
            <w:tcW w:w="7792" w:type="dxa"/>
          </w:tcPr>
          <w:p w14:paraId="221361AC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>Ability to work independently or as part of a team</w:t>
            </w:r>
          </w:p>
        </w:tc>
        <w:tc>
          <w:tcPr>
            <w:tcW w:w="708" w:type="dxa"/>
          </w:tcPr>
          <w:p w14:paraId="5C96CD70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2054263E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574BE938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4599906E" w14:textId="77777777" w:rsidTr="002B0CF9">
        <w:trPr>
          <w:trHeight w:val="417"/>
        </w:trPr>
        <w:tc>
          <w:tcPr>
            <w:tcW w:w="7792" w:type="dxa"/>
          </w:tcPr>
          <w:p w14:paraId="09390A3C" w14:textId="77777777" w:rsidR="00737A97" w:rsidRPr="007042DB" w:rsidRDefault="00737A97" w:rsidP="00730507">
            <w:pPr>
              <w:rPr>
                <w:szCs w:val="22"/>
              </w:rPr>
            </w:pPr>
            <w:r>
              <w:rPr>
                <w:szCs w:val="22"/>
              </w:rPr>
              <w:t>Ability to organise oneself and to prioritise workload</w:t>
            </w:r>
          </w:p>
        </w:tc>
        <w:tc>
          <w:tcPr>
            <w:tcW w:w="708" w:type="dxa"/>
          </w:tcPr>
          <w:p w14:paraId="6C4A66AD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7D51F49A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4C21BE97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737A97" w:rsidRPr="007042DB" w14:paraId="15D9B426" w14:textId="77777777" w:rsidTr="002B0CF9">
        <w:trPr>
          <w:trHeight w:val="417"/>
        </w:trPr>
        <w:tc>
          <w:tcPr>
            <w:tcW w:w="7792" w:type="dxa"/>
            <w:shd w:val="clear" w:color="auto" w:fill="D9D9D9" w:themeFill="background1" w:themeFillShade="D9"/>
          </w:tcPr>
          <w:p w14:paraId="2F46A32E" w14:textId="77777777" w:rsidR="00737A97" w:rsidRPr="00822AF4" w:rsidRDefault="00737A97" w:rsidP="0073050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Further Requirements</w:t>
            </w:r>
          </w:p>
        </w:tc>
        <w:tc>
          <w:tcPr>
            <w:tcW w:w="708" w:type="dxa"/>
          </w:tcPr>
          <w:p w14:paraId="43EEDFAC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</w:tcPr>
          <w:p w14:paraId="3E0799A8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449EA982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  <w:tr w:rsidR="00737A97" w:rsidRPr="007042DB" w14:paraId="6D910D22" w14:textId="77777777" w:rsidTr="002B0CF9">
        <w:trPr>
          <w:trHeight w:val="417"/>
        </w:trPr>
        <w:tc>
          <w:tcPr>
            <w:tcW w:w="7792" w:type="dxa"/>
            <w:tcBorders>
              <w:bottom w:val="single" w:sz="4" w:space="0" w:color="auto"/>
            </w:tcBorders>
          </w:tcPr>
          <w:p w14:paraId="5BE0DA10" w14:textId="77777777" w:rsidR="00737A97" w:rsidRPr="008E69D8" w:rsidRDefault="00997C1D" w:rsidP="00730507">
            <w:pPr>
              <w:rPr>
                <w:szCs w:val="22"/>
              </w:rPr>
            </w:pPr>
            <w:r>
              <w:rPr>
                <w:szCs w:val="22"/>
              </w:rPr>
              <w:t>Willingness to undertake</w:t>
            </w:r>
            <w:r w:rsidR="00737A97" w:rsidRPr="008E69D8">
              <w:rPr>
                <w:szCs w:val="22"/>
              </w:rPr>
              <w:t xml:space="preserve"> First Aid Training if required</w:t>
            </w:r>
          </w:p>
        </w:tc>
        <w:tc>
          <w:tcPr>
            <w:tcW w:w="708" w:type="dxa"/>
          </w:tcPr>
          <w:p w14:paraId="5C1A83DC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004165EB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67EF976D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  <w:tr w:rsidR="00737A97" w:rsidRPr="007042DB" w14:paraId="7451B856" w14:textId="77777777" w:rsidTr="002B0CF9">
        <w:trPr>
          <w:trHeight w:val="417"/>
        </w:trPr>
        <w:tc>
          <w:tcPr>
            <w:tcW w:w="7792" w:type="dxa"/>
            <w:tcBorders>
              <w:bottom w:val="single" w:sz="4" w:space="0" w:color="auto"/>
            </w:tcBorders>
          </w:tcPr>
          <w:p w14:paraId="70B1C616" w14:textId="77777777" w:rsidR="00737A97" w:rsidRDefault="00737A97" w:rsidP="00730507">
            <w:pPr>
              <w:rPr>
                <w:b/>
                <w:szCs w:val="22"/>
              </w:rPr>
            </w:pPr>
            <w:r>
              <w:rPr>
                <w:szCs w:val="22"/>
              </w:rPr>
              <w:t>An understanding of and commitment to Equality and Diversity as it applies to a supportive service in the workplace</w:t>
            </w:r>
          </w:p>
        </w:tc>
        <w:tc>
          <w:tcPr>
            <w:tcW w:w="708" w:type="dxa"/>
          </w:tcPr>
          <w:p w14:paraId="6F093A31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500A61E9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395B0814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  <w:tr w:rsidR="00737A97" w:rsidRPr="007042DB" w14:paraId="0D0BB50B" w14:textId="77777777" w:rsidTr="002B0CF9">
        <w:trPr>
          <w:trHeight w:val="417"/>
        </w:trPr>
        <w:tc>
          <w:tcPr>
            <w:tcW w:w="7792" w:type="dxa"/>
            <w:tcBorders>
              <w:top w:val="single" w:sz="4" w:space="0" w:color="auto"/>
            </w:tcBorders>
          </w:tcPr>
          <w:p w14:paraId="7E19A99C" w14:textId="77777777" w:rsidR="00737A97" w:rsidRPr="008947C0" w:rsidRDefault="00737A97" w:rsidP="00730507">
            <w:pPr>
              <w:rPr>
                <w:bCs w:val="0"/>
                <w:szCs w:val="22"/>
              </w:rPr>
            </w:pPr>
            <w:r w:rsidRPr="008947C0">
              <w:rPr>
                <w:bCs w:val="0"/>
                <w:szCs w:val="22"/>
              </w:rPr>
              <w:t>An understanding of safeguarding and a commitment to creating a safe learning environment</w:t>
            </w:r>
          </w:p>
        </w:tc>
        <w:tc>
          <w:tcPr>
            <w:tcW w:w="708" w:type="dxa"/>
          </w:tcPr>
          <w:p w14:paraId="398CB4F1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709" w:type="dxa"/>
          </w:tcPr>
          <w:p w14:paraId="66065159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14:paraId="1B6BAE55" w14:textId="77777777" w:rsidR="00737A97" w:rsidRPr="007042DB" w:rsidRDefault="00737A97" w:rsidP="002B0CF9">
            <w:pPr>
              <w:jc w:val="center"/>
              <w:rPr>
                <w:b/>
                <w:szCs w:val="22"/>
              </w:rPr>
            </w:pPr>
          </w:p>
        </w:tc>
      </w:tr>
    </w:tbl>
    <w:p w14:paraId="152D2963" w14:textId="77777777" w:rsidR="00997C1D" w:rsidRDefault="00997C1D" w:rsidP="00737A97">
      <w:pPr>
        <w:ind w:right="-432"/>
        <w:jc w:val="both"/>
        <w:rPr>
          <w:b/>
        </w:rPr>
      </w:pPr>
    </w:p>
    <w:p w14:paraId="0CAE4844" w14:textId="77777777" w:rsidR="002B0CF9" w:rsidRPr="002B0CF9" w:rsidRDefault="002B0CF9" w:rsidP="00737A97">
      <w:pPr>
        <w:ind w:right="-432"/>
        <w:jc w:val="both"/>
        <w:rPr>
          <w:b/>
          <w:sz w:val="20"/>
          <w:szCs w:val="20"/>
        </w:rPr>
      </w:pPr>
    </w:p>
    <w:p w14:paraId="00996BE6" w14:textId="1937CC88" w:rsidR="00737A97" w:rsidRPr="002B0CF9" w:rsidRDefault="00737A97" w:rsidP="00737A97">
      <w:pPr>
        <w:ind w:right="-432"/>
        <w:jc w:val="both"/>
        <w:rPr>
          <w:b/>
          <w:sz w:val="20"/>
          <w:szCs w:val="20"/>
        </w:rPr>
      </w:pPr>
      <w:r w:rsidRPr="002B0CF9">
        <w:rPr>
          <w:b/>
          <w:sz w:val="20"/>
          <w:szCs w:val="20"/>
        </w:rPr>
        <w:t>In addition to the candidate’s ability to perform the duties of the post, the selection process will</w:t>
      </w:r>
      <w:r w:rsidRPr="00F61FD2">
        <w:rPr>
          <w:b/>
        </w:rPr>
        <w:t xml:space="preserve"> </w:t>
      </w:r>
      <w:r w:rsidRPr="002B0CF9">
        <w:rPr>
          <w:b/>
          <w:sz w:val="20"/>
          <w:szCs w:val="20"/>
        </w:rPr>
        <w:t>also explore issues relating to safeguarding and promoting the welfare of children.</w:t>
      </w:r>
    </w:p>
    <w:p w14:paraId="18CCFB1F" w14:textId="77777777" w:rsidR="00737A97" w:rsidRPr="002B0CF9" w:rsidRDefault="00737A97" w:rsidP="00737A97">
      <w:pPr>
        <w:jc w:val="both"/>
        <w:rPr>
          <w:sz w:val="20"/>
          <w:szCs w:val="20"/>
        </w:rPr>
      </w:pPr>
    </w:p>
    <w:p w14:paraId="0ACAA052" w14:textId="15170E6E" w:rsidR="00737A97" w:rsidRDefault="00737A97" w:rsidP="00737A97">
      <w:pPr>
        <w:ind w:right="-432"/>
        <w:jc w:val="both"/>
        <w:rPr>
          <w:b/>
          <w:sz w:val="20"/>
          <w:szCs w:val="20"/>
        </w:rPr>
      </w:pPr>
      <w:r w:rsidRPr="002B0CF9">
        <w:rPr>
          <w:b/>
          <w:sz w:val="20"/>
          <w:szCs w:val="20"/>
        </w:rPr>
        <w:t>Notes:</w:t>
      </w:r>
    </w:p>
    <w:p w14:paraId="30914E81" w14:textId="77777777" w:rsidR="002B0CF9" w:rsidRPr="002B0CF9" w:rsidRDefault="002B0CF9" w:rsidP="00737A97">
      <w:pPr>
        <w:ind w:right="-432"/>
        <w:jc w:val="both"/>
        <w:rPr>
          <w:b/>
          <w:sz w:val="20"/>
          <w:szCs w:val="20"/>
        </w:rPr>
      </w:pPr>
    </w:p>
    <w:p w14:paraId="1A75106B" w14:textId="48DB83B9" w:rsidR="00737A97" w:rsidRPr="002B0CF9" w:rsidRDefault="00737A97" w:rsidP="00737A97">
      <w:pPr>
        <w:ind w:right="-432"/>
        <w:jc w:val="both"/>
        <w:rPr>
          <w:b/>
          <w:sz w:val="20"/>
          <w:szCs w:val="20"/>
        </w:rPr>
      </w:pPr>
      <w:r w:rsidRPr="002B0CF9">
        <w:rPr>
          <w:b/>
          <w:sz w:val="20"/>
          <w:szCs w:val="20"/>
        </w:rPr>
        <w:t xml:space="preserve">This job description outlines the main duties and key performance outcomes of the role.  It is not exhaustive and may be varied by the </w:t>
      </w:r>
      <w:r w:rsidR="008947C0" w:rsidRPr="002B0CF9">
        <w:rPr>
          <w:b/>
          <w:sz w:val="20"/>
          <w:szCs w:val="20"/>
        </w:rPr>
        <w:t>c</w:t>
      </w:r>
      <w:r w:rsidRPr="002B0CF9">
        <w:rPr>
          <w:b/>
          <w:sz w:val="20"/>
          <w:szCs w:val="20"/>
        </w:rPr>
        <w:t xml:space="preserve">ollege following consultation with the post holder. The job description, duties and key performance outcomes </w:t>
      </w:r>
      <w:r w:rsidR="001C72BA" w:rsidRPr="002B0CF9">
        <w:rPr>
          <w:b/>
          <w:sz w:val="20"/>
          <w:szCs w:val="20"/>
        </w:rPr>
        <w:t xml:space="preserve">must be reviewed annually with the line manager and amendments approved by a member of the Senior Management </w:t>
      </w:r>
      <w:r w:rsidR="008947C0" w:rsidRPr="002B0CF9">
        <w:rPr>
          <w:b/>
          <w:sz w:val="20"/>
          <w:szCs w:val="20"/>
        </w:rPr>
        <w:t>T</w:t>
      </w:r>
      <w:r w:rsidR="001C72BA" w:rsidRPr="002B0CF9">
        <w:rPr>
          <w:b/>
          <w:sz w:val="20"/>
          <w:szCs w:val="20"/>
        </w:rPr>
        <w:t>eam.</w:t>
      </w:r>
    </w:p>
    <w:p w14:paraId="1803918F" w14:textId="77777777" w:rsidR="00212EEB" w:rsidRPr="00E42A33" w:rsidRDefault="00212EEB" w:rsidP="00F35FF1">
      <w:pPr>
        <w:rPr>
          <w:rFonts w:asciiTheme="minorHAnsi" w:hAnsiTheme="minorHAnsi" w:cstheme="minorHAnsi"/>
          <w:szCs w:val="22"/>
        </w:rPr>
      </w:pPr>
    </w:p>
    <w:sectPr w:rsidR="00212EEB" w:rsidRPr="00E42A33" w:rsidSect="002B0CF9">
      <w:headerReference w:type="default" r:id="rId12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058B" w14:textId="77777777" w:rsidR="000533AE" w:rsidRDefault="000533AE">
      <w:r>
        <w:separator/>
      </w:r>
    </w:p>
  </w:endnote>
  <w:endnote w:type="continuationSeparator" w:id="0">
    <w:p w14:paraId="58781753" w14:textId="77777777" w:rsidR="000533AE" w:rsidRDefault="000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4779" w14:textId="77777777" w:rsidR="000533AE" w:rsidRDefault="000533AE">
      <w:r>
        <w:separator/>
      </w:r>
    </w:p>
  </w:footnote>
  <w:footnote w:type="continuationSeparator" w:id="0">
    <w:p w14:paraId="101A9E58" w14:textId="77777777" w:rsidR="000533AE" w:rsidRDefault="0005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F78D" w14:textId="77777777" w:rsidR="001C2754" w:rsidRDefault="001C2754" w:rsidP="00DE11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34E7"/>
    <w:multiLevelType w:val="hybridMultilevel"/>
    <w:tmpl w:val="4BFEA644"/>
    <w:lvl w:ilvl="0" w:tplc="83B40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227"/>
    <w:multiLevelType w:val="hybridMultilevel"/>
    <w:tmpl w:val="823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5365"/>
    <w:multiLevelType w:val="hybridMultilevel"/>
    <w:tmpl w:val="1C88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C67"/>
    <w:multiLevelType w:val="hybridMultilevel"/>
    <w:tmpl w:val="D902A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6FD7"/>
    <w:multiLevelType w:val="hybridMultilevel"/>
    <w:tmpl w:val="AC8E7690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64"/>
    <w:multiLevelType w:val="hybridMultilevel"/>
    <w:tmpl w:val="77D0DF70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6F04"/>
    <w:multiLevelType w:val="hybridMultilevel"/>
    <w:tmpl w:val="8C645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02341"/>
    <w:multiLevelType w:val="hybridMultilevel"/>
    <w:tmpl w:val="66AA1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66A86"/>
    <w:multiLevelType w:val="hybridMultilevel"/>
    <w:tmpl w:val="CD9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B61CD"/>
    <w:multiLevelType w:val="hybridMultilevel"/>
    <w:tmpl w:val="8ABCE8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2CC2"/>
    <w:multiLevelType w:val="hybridMultilevel"/>
    <w:tmpl w:val="B29E0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87044"/>
    <w:multiLevelType w:val="hybridMultilevel"/>
    <w:tmpl w:val="62722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66986"/>
    <w:multiLevelType w:val="hybridMultilevel"/>
    <w:tmpl w:val="F54C1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22D8E"/>
    <w:multiLevelType w:val="hybridMultilevel"/>
    <w:tmpl w:val="C8DA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A79FA"/>
    <w:multiLevelType w:val="hybridMultilevel"/>
    <w:tmpl w:val="81704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34853"/>
    <w:multiLevelType w:val="hybridMultilevel"/>
    <w:tmpl w:val="AC62B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530F7"/>
    <w:multiLevelType w:val="singleLevel"/>
    <w:tmpl w:val="70F4DE06"/>
    <w:lvl w:ilvl="0">
      <w:start w:val="1"/>
      <w:numFmt w:val="decimal"/>
      <w:pStyle w:val="ai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295619"/>
    <w:multiLevelType w:val="singleLevel"/>
    <w:tmpl w:val="E0580BAE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71A428C"/>
    <w:multiLevelType w:val="hybridMultilevel"/>
    <w:tmpl w:val="5AD4043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831"/>
    <w:multiLevelType w:val="hybridMultilevel"/>
    <w:tmpl w:val="33A00498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4473B"/>
    <w:multiLevelType w:val="hybridMultilevel"/>
    <w:tmpl w:val="B99899FA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54E83"/>
    <w:multiLevelType w:val="hybridMultilevel"/>
    <w:tmpl w:val="A074F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91D4D"/>
    <w:multiLevelType w:val="hybridMultilevel"/>
    <w:tmpl w:val="7138D88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1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18"/>
  </w:num>
  <w:num w:numId="10">
    <w:abstractNumId w:val="22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  <w:num w:numId="16">
    <w:abstractNumId w:val="1"/>
  </w:num>
  <w:num w:numId="17">
    <w:abstractNumId w:val="9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EB"/>
    <w:rsid w:val="000068F6"/>
    <w:rsid w:val="00023E9B"/>
    <w:rsid w:val="00041FC7"/>
    <w:rsid w:val="000473DB"/>
    <w:rsid w:val="0005210B"/>
    <w:rsid w:val="000533AE"/>
    <w:rsid w:val="00072DA2"/>
    <w:rsid w:val="00096646"/>
    <w:rsid w:val="000B35AF"/>
    <w:rsid w:val="000B75F1"/>
    <w:rsid w:val="000C0008"/>
    <w:rsid w:val="000D7320"/>
    <w:rsid w:val="000E2D8E"/>
    <w:rsid w:val="00105CAA"/>
    <w:rsid w:val="00145E77"/>
    <w:rsid w:val="00154304"/>
    <w:rsid w:val="00171C29"/>
    <w:rsid w:val="001805EF"/>
    <w:rsid w:val="00181995"/>
    <w:rsid w:val="00185A60"/>
    <w:rsid w:val="00186158"/>
    <w:rsid w:val="001A6A46"/>
    <w:rsid w:val="001C2754"/>
    <w:rsid w:val="001C72BA"/>
    <w:rsid w:val="001C7F50"/>
    <w:rsid w:val="001D4F0C"/>
    <w:rsid w:val="001F4FB1"/>
    <w:rsid w:val="00212EEB"/>
    <w:rsid w:val="00214542"/>
    <w:rsid w:val="002174B0"/>
    <w:rsid w:val="002234C2"/>
    <w:rsid w:val="00243001"/>
    <w:rsid w:val="002541F5"/>
    <w:rsid w:val="00267818"/>
    <w:rsid w:val="002938E4"/>
    <w:rsid w:val="002A6706"/>
    <w:rsid w:val="002B0935"/>
    <w:rsid w:val="002B0CF9"/>
    <w:rsid w:val="002B182C"/>
    <w:rsid w:val="002D2184"/>
    <w:rsid w:val="002D2675"/>
    <w:rsid w:val="003052B7"/>
    <w:rsid w:val="00306017"/>
    <w:rsid w:val="00362C7B"/>
    <w:rsid w:val="00377952"/>
    <w:rsid w:val="00384F8D"/>
    <w:rsid w:val="00385631"/>
    <w:rsid w:val="003A6229"/>
    <w:rsid w:val="003B23C6"/>
    <w:rsid w:val="003B2EEF"/>
    <w:rsid w:val="003C2072"/>
    <w:rsid w:val="003C557D"/>
    <w:rsid w:val="003D3439"/>
    <w:rsid w:val="00402BF6"/>
    <w:rsid w:val="00441635"/>
    <w:rsid w:val="00442599"/>
    <w:rsid w:val="00476348"/>
    <w:rsid w:val="004B6FF5"/>
    <w:rsid w:val="004C62F7"/>
    <w:rsid w:val="004D7278"/>
    <w:rsid w:val="004E5C09"/>
    <w:rsid w:val="004F1536"/>
    <w:rsid w:val="005023E2"/>
    <w:rsid w:val="00507C7B"/>
    <w:rsid w:val="00541216"/>
    <w:rsid w:val="00562315"/>
    <w:rsid w:val="00575AEC"/>
    <w:rsid w:val="00576F97"/>
    <w:rsid w:val="0058339F"/>
    <w:rsid w:val="005902E1"/>
    <w:rsid w:val="005A6263"/>
    <w:rsid w:val="005C0834"/>
    <w:rsid w:val="005D1498"/>
    <w:rsid w:val="005D3FBF"/>
    <w:rsid w:val="005E1343"/>
    <w:rsid w:val="005E1E09"/>
    <w:rsid w:val="005F18C0"/>
    <w:rsid w:val="00633593"/>
    <w:rsid w:val="00642FED"/>
    <w:rsid w:val="00644D5D"/>
    <w:rsid w:val="00670D16"/>
    <w:rsid w:val="00673F25"/>
    <w:rsid w:val="00674840"/>
    <w:rsid w:val="00696C9A"/>
    <w:rsid w:val="006A3AD9"/>
    <w:rsid w:val="006A7282"/>
    <w:rsid w:val="006B7A3B"/>
    <w:rsid w:val="006C326C"/>
    <w:rsid w:val="006D0D1A"/>
    <w:rsid w:val="006E24B6"/>
    <w:rsid w:val="006F14E5"/>
    <w:rsid w:val="006F426B"/>
    <w:rsid w:val="006F7B17"/>
    <w:rsid w:val="00713F4D"/>
    <w:rsid w:val="00724BCC"/>
    <w:rsid w:val="007333C8"/>
    <w:rsid w:val="00737A97"/>
    <w:rsid w:val="00743EFE"/>
    <w:rsid w:val="007475B8"/>
    <w:rsid w:val="00761EC3"/>
    <w:rsid w:val="00785A4E"/>
    <w:rsid w:val="00795932"/>
    <w:rsid w:val="007A3DE3"/>
    <w:rsid w:val="007C6EF0"/>
    <w:rsid w:val="007D26F1"/>
    <w:rsid w:val="007D3C10"/>
    <w:rsid w:val="007D515B"/>
    <w:rsid w:val="00804FCD"/>
    <w:rsid w:val="00806B12"/>
    <w:rsid w:val="008175CE"/>
    <w:rsid w:val="0082323B"/>
    <w:rsid w:val="0082554B"/>
    <w:rsid w:val="00825B9B"/>
    <w:rsid w:val="00825DA4"/>
    <w:rsid w:val="00834A34"/>
    <w:rsid w:val="00853448"/>
    <w:rsid w:val="008947C0"/>
    <w:rsid w:val="008A6576"/>
    <w:rsid w:val="008B1621"/>
    <w:rsid w:val="008B739E"/>
    <w:rsid w:val="008F169E"/>
    <w:rsid w:val="0091704B"/>
    <w:rsid w:val="0092730B"/>
    <w:rsid w:val="00927976"/>
    <w:rsid w:val="00930CB3"/>
    <w:rsid w:val="00936F75"/>
    <w:rsid w:val="00997C1D"/>
    <w:rsid w:val="009D3186"/>
    <w:rsid w:val="009D7699"/>
    <w:rsid w:val="00A03D03"/>
    <w:rsid w:val="00A139BD"/>
    <w:rsid w:val="00A15AC1"/>
    <w:rsid w:val="00A22AC7"/>
    <w:rsid w:val="00A234FC"/>
    <w:rsid w:val="00A44B38"/>
    <w:rsid w:val="00A44D9D"/>
    <w:rsid w:val="00A5483F"/>
    <w:rsid w:val="00A732F2"/>
    <w:rsid w:val="00A758EF"/>
    <w:rsid w:val="00A8045D"/>
    <w:rsid w:val="00A82389"/>
    <w:rsid w:val="00A8707F"/>
    <w:rsid w:val="00AA4B88"/>
    <w:rsid w:val="00B01B11"/>
    <w:rsid w:val="00B02C11"/>
    <w:rsid w:val="00B12514"/>
    <w:rsid w:val="00B67BF3"/>
    <w:rsid w:val="00B83116"/>
    <w:rsid w:val="00BA2DBB"/>
    <w:rsid w:val="00BB4B88"/>
    <w:rsid w:val="00BC0892"/>
    <w:rsid w:val="00BE0D0F"/>
    <w:rsid w:val="00BF4EBC"/>
    <w:rsid w:val="00C07B2A"/>
    <w:rsid w:val="00C10518"/>
    <w:rsid w:val="00C25433"/>
    <w:rsid w:val="00C434D6"/>
    <w:rsid w:val="00C716B9"/>
    <w:rsid w:val="00C72C93"/>
    <w:rsid w:val="00C77598"/>
    <w:rsid w:val="00C94AD2"/>
    <w:rsid w:val="00CA63D2"/>
    <w:rsid w:val="00CE6C4E"/>
    <w:rsid w:val="00CE7CD9"/>
    <w:rsid w:val="00CF3FD1"/>
    <w:rsid w:val="00D04639"/>
    <w:rsid w:val="00D50201"/>
    <w:rsid w:val="00D57884"/>
    <w:rsid w:val="00D67C5D"/>
    <w:rsid w:val="00D72C2F"/>
    <w:rsid w:val="00D7484D"/>
    <w:rsid w:val="00D854DC"/>
    <w:rsid w:val="00D95855"/>
    <w:rsid w:val="00DA3170"/>
    <w:rsid w:val="00DC0F2F"/>
    <w:rsid w:val="00DC1297"/>
    <w:rsid w:val="00DE0E6E"/>
    <w:rsid w:val="00DE1184"/>
    <w:rsid w:val="00E01DE3"/>
    <w:rsid w:val="00E07E28"/>
    <w:rsid w:val="00E22EBF"/>
    <w:rsid w:val="00E2429F"/>
    <w:rsid w:val="00E25967"/>
    <w:rsid w:val="00E26088"/>
    <w:rsid w:val="00E36F25"/>
    <w:rsid w:val="00E42A33"/>
    <w:rsid w:val="00E572F6"/>
    <w:rsid w:val="00E57FC1"/>
    <w:rsid w:val="00E665CD"/>
    <w:rsid w:val="00EB35B4"/>
    <w:rsid w:val="00ED59E6"/>
    <w:rsid w:val="00EF1447"/>
    <w:rsid w:val="00F01985"/>
    <w:rsid w:val="00F14F02"/>
    <w:rsid w:val="00F224B8"/>
    <w:rsid w:val="00F236FC"/>
    <w:rsid w:val="00F35FF1"/>
    <w:rsid w:val="00F43B51"/>
    <w:rsid w:val="00F51C45"/>
    <w:rsid w:val="00F76C24"/>
    <w:rsid w:val="00F81CF4"/>
    <w:rsid w:val="00FB7417"/>
    <w:rsid w:val="00FC03F8"/>
    <w:rsid w:val="00FC29A8"/>
    <w:rsid w:val="00FC34DC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E09A750"/>
  <w15:docId w15:val="{0E936086-3201-4087-854F-3DAA52D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EB"/>
    <w:rPr>
      <w:rFonts w:ascii="Arial" w:hAnsi="Arial" w:cs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12EEB"/>
    <w:pPr>
      <w:keepNext/>
      <w:spacing w:before="100" w:beforeAutospacing="1" w:after="100" w:afterAutospacing="1"/>
      <w:outlineLvl w:val="2"/>
    </w:pPr>
    <w:rPr>
      <w:rFonts w:ascii="Franklin Gothic Book" w:hAnsi="Franklin Gothic Book" w:cs="Times New Roman"/>
      <w:b/>
      <w:color w:val="003366"/>
      <w:szCs w:val="22"/>
    </w:rPr>
  </w:style>
  <w:style w:type="paragraph" w:styleId="Heading4">
    <w:name w:val="heading 4"/>
    <w:basedOn w:val="Normal"/>
    <w:next w:val="Normal"/>
    <w:qFormat/>
    <w:rsid w:val="00212EEB"/>
    <w:pPr>
      <w:keepNext/>
      <w:outlineLvl w:val="3"/>
    </w:pPr>
    <w:rPr>
      <w:rFonts w:ascii="Franklin Gothic Book" w:hAnsi="Franklin Gothic Book"/>
      <w:b/>
      <w:szCs w:val="22"/>
    </w:rPr>
  </w:style>
  <w:style w:type="paragraph" w:styleId="Heading7">
    <w:name w:val="heading 7"/>
    <w:basedOn w:val="Normal"/>
    <w:next w:val="Normal"/>
    <w:qFormat/>
    <w:rsid w:val="00212EEB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EEB"/>
    <w:rPr>
      <w:color w:val="0000FF"/>
      <w:u w:val="single"/>
    </w:rPr>
  </w:style>
  <w:style w:type="paragraph" w:styleId="BodyText">
    <w:name w:val="Body Text"/>
    <w:basedOn w:val="Normal"/>
    <w:link w:val="BodyTextChar"/>
    <w:rsid w:val="00212EEB"/>
    <w:pPr>
      <w:spacing w:after="120"/>
      <w:ind w:left="720"/>
    </w:pPr>
    <w:rPr>
      <w:rFonts w:cs="Times New Roman"/>
      <w:bCs w:val="0"/>
      <w:szCs w:val="20"/>
    </w:rPr>
  </w:style>
  <w:style w:type="character" w:styleId="Emphasis">
    <w:name w:val="Emphasis"/>
    <w:qFormat/>
    <w:rsid w:val="00212EEB"/>
    <w:rPr>
      <w:i/>
    </w:rPr>
  </w:style>
  <w:style w:type="paragraph" w:customStyle="1" w:styleId="BodyText1">
    <w:name w:val="Body Text1"/>
    <w:basedOn w:val="Normal"/>
    <w:rsid w:val="00212EEB"/>
    <w:pPr>
      <w:tabs>
        <w:tab w:val="left" w:pos="2552"/>
      </w:tabs>
      <w:spacing w:before="100"/>
    </w:pPr>
    <w:rPr>
      <w:rFonts w:cs="Times New Roman"/>
      <w:bCs w:val="0"/>
      <w:sz w:val="24"/>
    </w:rPr>
  </w:style>
  <w:style w:type="paragraph" w:styleId="Header">
    <w:name w:val="header"/>
    <w:basedOn w:val="Normal"/>
    <w:rsid w:val="00212EEB"/>
    <w:pPr>
      <w:tabs>
        <w:tab w:val="center" w:pos="4153"/>
        <w:tab w:val="right" w:pos="8306"/>
      </w:tabs>
    </w:pPr>
    <w:rPr>
      <w:rFonts w:cs="Times New Roman"/>
      <w:bCs w:val="0"/>
      <w:szCs w:val="20"/>
    </w:rPr>
  </w:style>
  <w:style w:type="paragraph" w:styleId="BodyText2">
    <w:name w:val="Body Text 2"/>
    <w:basedOn w:val="Normal"/>
    <w:rsid w:val="00212EEB"/>
    <w:rPr>
      <w:b/>
      <w:bCs w:val="0"/>
      <w:sz w:val="16"/>
    </w:rPr>
  </w:style>
  <w:style w:type="paragraph" w:styleId="Title">
    <w:name w:val="Title"/>
    <w:basedOn w:val="Normal"/>
    <w:qFormat/>
    <w:rsid w:val="00212EEB"/>
    <w:pPr>
      <w:jc w:val="center"/>
    </w:pPr>
    <w:rPr>
      <w:rFonts w:cs="Times New Roman"/>
      <w:b/>
      <w:bCs w:val="0"/>
      <w:sz w:val="28"/>
      <w:szCs w:val="20"/>
    </w:rPr>
  </w:style>
  <w:style w:type="paragraph" w:customStyle="1" w:styleId="head">
    <w:name w:val="head"/>
    <w:basedOn w:val="Heading7"/>
    <w:rsid w:val="00212EEB"/>
    <w:pPr>
      <w:keepNext/>
      <w:spacing w:before="0" w:after="0"/>
      <w:ind w:right="-10"/>
      <w:jc w:val="both"/>
    </w:pPr>
    <w:rPr>
      <w:rFonts w:ascii="Arial Black" w:hAnsi="Arial Black"/>
      <w:bCs w:val="0"/>
      <w:sz w:val="28"/>
      <w:szCs w:val="20"/>
    </w:rPr>
  </w:style>
  <w:style w:type="paragraph" w:customStyle="1" w:styleId="bullet2">
    <w:name w:val="bullet2"/>
    <w:basedOn w:val="Normal"/>
    <w:rsid w:val="00212EEB"/>
    <w:pPr>
      <w:numPr>
        <w:numId w:val="2"/>
      </w:numPr>
      <w:ind w:right="-10"/>
      <w:jc w:val="both"/>
    </w:pPr>
    <w:rPr>
      <w:rFonts w:cs="Times New Roman"/>
      <w:bCs w:val="0"/>
      <w:sz w:val="20"/>
      <w:szCs w:val="20"/>
    </w:rPr>
  </w:style>
  <w:style w:type="paragraph" w:customStyle="1" w:styleId="aim1">
    <w:name w:val="aim1"/>
    <w:basedOn w:val="Normal"/>
    <w:rsid w:val="00212EEB"/>
    <w:pPr>
      <w:numPr>
        <w:numId w:val="3"/>
      </w:numPr>
      <w:tabs>
        <w:tab w:val="clear" w:pos="360"/>
        <w:tab w:val="num" w:pos="540"/>
        <w:tab w:val="left" w:pos="1080"/>
      </w:tabs>
      <w:ind w:left="540" w:right="-10" w:hanging="540"/>
    </w:pPr>
    <w:rPr>
      <w:rFonts w:cs="Times New Roman"/>
      <w:b/>
      <w:bCs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locked/>
    <w:rsid w:val="00E22EBF"/>
    <w:rPr>
      <w:rFonts w:ascii="Franklin Gothic Book" w:hAnsi="Franklin Gothic Book"/>
      <w:b/>
      <w:bCs/>
      <w:color w:val="003366"/>
      <w:sz w:val="22"/>
      <w:szCs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E22EBF"/>
    <w:rPr>
      <w:rFonts w:ascii="Arial" w:hAnsi="Arial"/>
      <w:sz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E13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84"/>
    <w:rPr>
      <w:rFonts w:ascii="Tahoma" w:hAnsi="Tahoma" w:cs="Tahoma"/>
      <w:bCs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96C9A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/>
    </w:rPr>
  </w:style>
  <w:style w:type="paragraph" w:styleId="BodyTextIndent2">
    <w:name w:val="Body Text Indent 2"/>
    <w:basedOn w:val="Normal"/>
    <w:link w:val="BodyTextIndent2Char"/>
    <w:rsid w:val="005623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2315"/>
    <w:rPr>
      <w:rFonts w:ascii="Arial" w:hAnsi="Arial" w:cs="Arial"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5DA4"/>
    <w:pPr>
      <w:ind w:left="720"/>
      <w:contextualSpacing/>
    </w:pPr>
    <w:rPr>
      <w:rFonts w:ascii="Times New Roman" w:hAnsi="Times New Roman" w:cs="Times New Roman"/>
      <w:b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9D7699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C7B"/>
    <w:rPr>
      <w:rFonts w:ascii="Arial" w:hAnsi="Arial" w:cs="Arial"/>
      <w:bCs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5E4C45F30BD47B322ED5402A93388" ma:contentTypeVersion="12" ma:contentTypeDescription="Create a new document." ma:contentTypeScope="" ma:versionID="f878f044e86e83b1ca2a4434f5a3d569">
  <xsd:schema xmlns:xsd="http://www.w3.org/2001/XMLSchema" xmlns:xs="http://www.w3.org/2001/XMLSchema" xmlns:p="http://schemas.microsoft.com/office/2006/metadata/properties" xmlns:ns2="b2ffb16c-1d71-4840-9f15-051d2d7b513c" xmlns:ns3="71f41c86-b3bf-48ad-aedf-c5f827190ac0" targetNamespace="http://schemas.microsoft.com/office/2006/metadata/properties" ma:root="true" ma:fieldsID="b72f8e5f32428fe0fc73aa7267935dd1" ns2:_="" ns3:_="">
    <xsd:import namespace="b2ffb16c-1d71-4840-9f15-051d2d7b513c"/>
    <xsd:import namespace="71f41c86-b3bf-48ad-aedf-c5f827190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fb16c-1d71-4840-9f15-051d2d7b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1c86-b3bf-48ad-aedf-c5f827190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1E06-B4C8-4784-8167-C3D680921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2AD00-77FE-4986-9FB3-19FA5C481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fb16c-1d71-4840-9f15-051d2d7b513c"/>
    <ds:schemaRef ds:uri="71f41c86-b3bf-48ad-aedf-c5f827190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C434A-68E2-4747-BE94-24EA88E30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30B28-0DC3-4F38-B0B3-B726A2E9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Wiltshire College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Dave Aldred</dc:creator>
  <cp:lastModifiedBy>Matthew Ellis</cp:lastModifiedBy>
  <cp:revision>2</cp:revision>
  <cp:lastPrinted>2015-05-15T13:56:00Z</cp:lastPrinted>
  <dcterms:created xsi:type="dcterms:W3CDTF">2020-10-14T14:29:00Z</dcterms:created>
  <dcterms:modified xsi:type="dcterms:W3CDTF">2020-10-14T14:29:00Z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0x01010084A5E4C45F30BD47B322ED5402A93388</vt:lpwstr>
  </property>
</Properties>
</file>