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7B5753"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666680699"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7B5753">
        <w:rPr>
          <w:b/>
          <w:color w:val="000000"/>
          <w:szCs w:val="22"/>
          <w:lang w:val="en-GB" w:eastAsia="en-US"/>
        </w:rPr>
        <w:t>Variable Hours (Bank Staff)</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7B5753">
        <w:rPr>
          <w:b/>
          <w:szCs w:val="22"/>
          <w:lang w:val="en-GB" w:eastAsia="en-US"/>
        </w:rPr>
        <w:t>£17.80 - £25.55 per hour</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7B5753">
        <w:rPr>
          <w:b/>
          <w:color w:val="000000"/>
          <w:szCs w:val="22"/>
          <w:lang w:val="en-GB" w:eastAsia="en-US"/>
        </w:rPr>
        <w:t>Midnight on Thursday 26 November 2020</w:t>
      </w:r>
    </w:p>
    <w:p w:rsidR="00CF5C5D" w:rsidRDefault="00CF5C5D">
      <w:pPr>
        <w:rPr>
          <w:b/>
          <w:color w:val="000000"/>
          <w:szCs w:val="22"/>
          <w:lang w:val="en-GB" w:eastAsia="en-US"/>
        </w:rPr>
      </w:pPr>
      <w:r>
        <w:rPr>
          <w:b/>
          <w:color w:val="000000"/>
          <w:szCs w:val="22"/>
          <w:lang w:val="en-GB" w:eastAsia="en-US"/>
        </w:rPr>
        <w:br w:type="page"/>
      </w:r>
      <w:bookmarkStart w:id="1" w:name="_GoBack"/>
      <w:bookmarkEnd w:id="1"/>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7B5753">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7B5753">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B5753"/>
    <w:rsid w:val="007D27F6"/>
    <w:rsid w:val="00816F12"/>
    <w:rsid w:val="00836291"/>
    <w:rsid w:val="0088376C"/>
    <w:rsid w:val="008860D3"/>
    <w:rsid w:val="008A0502"/>
    <w:rsid w:val="008A0C2E"/>
    <w:rsid w:val="008C14CF"/>
    <w:rsid w:val="00912D1F"/>
    <w:rsid w:val="00915ABA"/>
    <w:rsid w:val="00922332"/>
    <w:rsid w:val="00936745"/>
    <w:rsid w:val="00954304"/>
    <w:rsid w:val="009977C1"/>
    <w:rsid w:val="009A25E9"/>
    <w:rsid w:val="009C38D0"/>
    <w:rsid w:val="009C5E68"/>
    <w:rsid w:val="00A03247"/>
    <w:rsid w:val="00A108FD"/>
    <w:rsid w:val="00A45FA3"/>
    <w:rsid w:val="00A504DF"/>
    <w:rsid w:val="00AA1025"/>
    <w:rsid w:val="00AC4772"/>
    <w:rsid w:val="00AE3768"/>
    <w:rsid w:val="00B14464"/>
    <w:rsid w:val="00B27784"/>
    <w:rsid w:val="00B70B6B"/>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64733031"/>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9855-CB39-4E08-9D68-55F3FE8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2000</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Craig Quayle</cp:lastModifiedBy>
  <cp:revision>8</cp:revision>
  <cp:lastPrinted>2019-02-27T11:36:00Z</cp:lastPrinted>
  <dcterms:created xsi:type="dcterms:W3CDTF">2019-04-10T12:08:00Z</dcterms:created>
  <dcterms:modified xsi:type="dcterms:W3CDTF">2020-11-12T10:05:00Z</dcterms:modified>
</cp:coreProperties>
</file>