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CB41" w14:textId="77777777" w:rsidR="00CE7BF8" w:rsidRDefault="00CE7BF8" w:rsidP="00CE7BF8">
      <w:pPr>
        <w:rPr>
          <w:b/>
          <w:bCs/>
          <w:color w:val="002060"/>
          <w:sz w:val="28"/>
          <w:szCs w:val="28"/>
        </w:rPr>
      </w:pPr>
      <w:r>
        <w:rPr>
          <w:noProof/>
        </w:rPr>
        <w:drawing>
          <wp:inline distT="0" distB="0" distL="0" distR="0" wp14:anchorId="384FDFBA" wp14:editId="6B46B836">
            <wp:extent cx="2494483" cy="792241"/>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4F373BDA" w14:textId="77777777" w:rsidR="00CE7BF8" w:rsidRDefault="00CE7BF8" w:rsidP="00CE7BF8">
      <w:pPr>
        <w:rPr>
          <w:b/>
          <w:bCs/>
          <w:color w:val="002060"/>
          <w:sz w:val="28"/>
          <w:szCs w:val="28"/>
        </w:rPr>
      </w:pPr>
    </w:p>
    <w:p w14:paraId="14FFFFBA" w14:textId="77777777" w:rsidR="00CE7BF8" w:rsidRDefault="00CE7BF8" w:rsidP="00CE7BF8">
      <w:pPr>
        <w:rPr>
          <w:b/>
          <w:bCs/>
          <w:color w:val="002060"/>
          <w:sz w:val="28"/>
          <w:szCs w:val="28"/>
        </w:rPr>
      </w:pPr>
      <w:r>
        <w:rPr>
          <w:noProof/>
        </w:rPr>
        <w:drawing>
          <wp:inline distT="0" distB="0" distL="0" distR="0" wp14:anchorId="1315E110" wp14:editId="4967D696">
            <wp:extent cx="5503230" cy="3096106"/>
            <wp:effectExtent l="0" t="0" r="2540" b="9525"/>
            <wp:docPr id="4" name="Picture 4"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3C023AC4" w14:textId="77777777" w:rsidR="00CE7BF8" w:rsidRDefault="00CE7BF8" w:rsidP="00CE7BF8">
      <w:pPr>
        <w:rPr>
          <w:b/>
          <w:bCs/>
          <w:color w:val="002060"/>
          <w:sz w:val="28"/>
          <w:szCs w:val="28"/>
        </w:rPr>
      </w:pPr>
    </w:p>
    <w:p w14:paraId="3C9553E2" w14:textId="77777777" w:rsidR="00CE7BF8" w:rsidRPr="00FE33C2" w:rsidRDefault="00CE7BF8" w:rsidP="00CE7BF8">
      <w:r w:rsidRPr="00FE33C2">
        <w:rPr>
          <w:b/>
          <w:bCs/>
          <w:color w:val="002060"/>
          <w:sz w:val="28"/>
          <w:szCs w:val="28"/>
        </w:rPr>
        <w:t xml:space="preserve">Overview of Halesowen College </w:t>
      </w:r>
    </w:p>
    <w:p w14:paraId="47BFE768" w14:textId="77777777" w:rsidR="00CE7BF8" w:rsidRPr="00FE33C2" w:rsidRDefault="00CE7BF8" w:rsidP="00CE7BF8"/>
    <w:p w14:paraId="281D669C" w14:textId="77777777" w:rsidR="00CE7BF8" w:rsidRPr="00FE33C2" w:rsidRDefault="00CE7BF8" w:rsidP="00CE7BF8">
      <w:pPr>
        <w:rPr>
          <w:color w:val="002060"/>
          <w:szCs w:val="18"/>
        </w:rPr>
      </w:pPr>
      <w:r w:rsidRPr="00FE33C2">
        <w:rPr>
          <w:color w:val="002060"/>
          <w:szCs w:val="18"/>
        </w:rPr>
        <w:t>Halesowen College aims to provide:</w:t>
      </w:r>
    </w:p>
    <w:p w14:paraId="0AF642BF" w14:textId="77777777" w:rsidR="00CE7BF8" w:rsidRPr="00FE33C2" w:rsidRDefault="00CE7BF8" w:rsidP="00CE7BF8">
      <w:pPr>
        <w:rPr>
          <w:color w:val="002060"/>
          <w:szCs w:val="18"/>
        </w:rPr>
      </w:pPr>
    </w:p>
    <w:p w14:paraId="246B4539"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 xml:space="preserve">A broad, inclusive, responsive, and purposeful curriculum </w:t>
      </w:r>
    </w:p>
    <w:p w14:paraId="424B5926"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Exceptional teaching, learning and outcomes</w:t>
      </w:r>
    </w:p>
    <w:p w14:paraId="5FA7DE8B"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Learning environments that make a difference</w:t>
      </w:r>
    </w:p>
    <w:p w14:paraId="46116F3C"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A truly diverse, empowered, supportive and accountable community</w:t>
      </w:r>
    </w:p>
    <w:p w14:paraId="25E52A7D"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Sound finances to allow investment and keep us ahead of the game</w:t>
      </w:r>
    </w:p>
    <w:p w14:paraId="639BC125" w14:textId="77777777" w:rsidR="00CE7BF8" w:rsidRPr="00FE33C2" w:rsidRDefault="00CE7BF8" w:rsidP="00CE7BF8">
      <w:pPr>
        <w:pStyle w:val="ListParagraph"/>
        <w:numPr>
          <w:ilvl w:val="0"/>
          <w:numId w:val="1"/>
        </w:numPr>
        <w:spacing w:line="360" w:lineRule="auto"/>
        <w:ind w:left="425" w:hanging="357"/>
        <w:rPr>
          <w:color w:val="002060"/>
          <w:szCs w:val="18"/>
        </w:rPr>
      </w:pPr>
      <w:r w:rsidRPr="00FE33C2">
        <w:rPr>
          <w:color w:val="002060"/>
          <w:szCs w:val="18"/>
        </w:rPr>
        <w:t>A reputation as the go to college</w:t>
      </w:r>
    </w:p>
    <w:p w14:paraId="694D8A12" w14:textId="77777777" w:rsidR="00CE7BF8" w:rsidRPr="00FE33C2" w:rsidRDefault="00CE7BF8" w:rsidP="00CE7BF8">
      <w:pPr>
        <w:rPr>
          <w:szCs w:val="18"/>
        </w:rPr>
      </w:pPr>
    </w:p>
    <w:p w14:paraId="5EB6C860" w14:textId="77777777" w:rsidR="00CE7BF8" w:rsidRPr="00FE33C2" w:rsidRDefault="00CE7BF8" w:rsidP="00CE7BF8">
      <w:pPr>
        <w:rPr>
          <w:szCs w:val="18"/>
        </w:rPr>
      </w:pPr>
    </w:p>
    <w:p w14:paraId="25320409" w14:textId="77777777" w:rsidR="00CE7BF8" w:rsidRPr="00FE33C2" w:rsidRDefault="00CE7BF8" w:rsidP="00CE7BF8">
      <w:pPr>
        <w:rPr>
          <w:szCs w:val="18"/>
        </w:rPr>
        <w:sectPr w:rsidR="00CE7BF8" w:rsidRPr="00FE33C2" w:rsidSect="008314C3">
          <w:pgSz w:w="11906" w:h="16838"/>
          <w:pgMar w:top="851" w:right="1134" w:bottom="1134" w:left="1134" w:header="709" w:footer="709" w:gutter="0"/>
          <w:cols w:space="708"/>
          <w:docGrid w:linePitch="360"/>
        </w:sectPr>
      </w:pPr>
    </w:p>
    <w:p w14:paraId="0AD19C19" w14:textId="77777777" w:rsidR="00CE7BF8" w:rsidRPr="00FE33C2" w:rsidRDefault="00CE7BF8" w:rsidP="00CE7BF8">
      <w:pPr>
        <w:rPr>
          <w:color w:val="002060"/>
          <w:szCs w:val="18"/>
        </w:rPr>
      </w:pPr>
      <w:r w:rsidRPr="00FE33C2">
        <w:rPr>
          <w:color w:val="002060"/>
          <w:szCs w:val="18"/>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265E21DB" w14:textId="77777777" w:rsidR="00CE7BF8" w:rsidRPr="00FE33C2" w:rsidRDefault="00CE7BF8" w:rsidP="00CE7BF8">
      <w:pPr>
        <w:rPr>
          <w:color w:val="002060"/>
          <w:szCs w:val="18"/>
        </w:rPr>
      </w:pPr>
    </w:p>
    <w:p w14:paraId="04459FEF" w14:textId="77777777" w:rsidR="00CE7BF8" w:rsidRPr="00FE33C2" w:rsidRDefault="00CE7BF8" w:rsidP="00CE7BF8">
      <w:pPr>
        <w:rPr>
          <w:color w:val="002060"/>
          <w:szCs w:val="18"/>
        </w:rPr>
      </w:pPr>
      <w:r w:rsidRPr="00FE33C2">
        <w:rPr>
          <w:color w:val="002060"/>
          <w:szCs w:val="18"/>
        </w:rPr>
        <w:t>Shortlisting of applicants is anonymous, and we welcome applications from all sections of the community.  We have robust onboarding processes to ensure the safety and wellbeing of our students.</w:t>
      </w:r>
    </w:p>
    <w:p w14:paraId="7E155156" w14:textId="77777777" w:rsidR="00CE7BF8" w:rsidRPr="00FE33C2" w:rsidRDefault="00CE7BF8" w:rsidP="00CE7BF8">
      <w:pPr>
        <w:rPr>
          <w:color w:val="002060"/>
          <w:szCs w:val="18"/>
        </w:rPr>
      </w:pPr>
    </w:p>
    <w:p w14:paraId="12DE5551" w14:textId="77777777" w:rsidR="00CE7BF8" w:rsidRPr="00FE33C2" w:rsidRDefault="00CE7BF8" w:rsidP="00CE7BF8">
      <w:pPr>
        <w:rPr>
          <w:color w:val="002060"/>
          <w:szCs w:val="18"/>
        </w:rPr>
      </w:pPr>
      <w:r w:rsidRPr="00FE33C2">
        <w:rPr>
          <w:color w:val="002060"/>
          <w:szCs w:val="18"/>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767BCEAD" w14:textId="77777777" w:rsidR="00CE7BF8" w:rsidRPr="00FE33C2" w:rsidRDefault="00CE7BF8" w:rsidP="00CE7BF8">
      <w:pPr>
        <w:rPr>
          <w:color w:val="002060"/>
          <w:szCs w:val="18"/>
        </w:rPr>
      </w:pPr>
    </w:p>
    <w:p w14:paraId="06B4C347" w14:textId="77777777" w:rsidR="00CE7BF8" w:rsidRPr="00FE33C2" w:rsidRDefault="00CE7BF8" w:rsidP="00CE7BF8">
      <w:pPr>
        <w:rPr>
          <w:color w:val="002060"/>
          <w:szCs w:val="18"/>
        </w:rPr>
      </w:pPr>
      <w:r w:rsidRPr="00FE33C2">
        <w:rPr>
          <w:color w:val="002060"/>
          <w:szCs w:val="18"/>
        </w:rPr>
        <w:t xml:space="preserve">Halesowen College is a thriving tertiary college operating from three main sites, Whittingham Road, Shenstone </w:t>
      </w:r>
      <w:proofErr w:type="gramStart"/>
      <w:r w:rsidRPr="00FE33C2">
        <w:rPr>
          <w:color w:val="002060"/>
          <w:szCs w:val="18"/>
        </w:rPr>
        <w:t>House</w:t>
      </w:r>
      <w:proofErr w:type="gramEnd"/>
      <w:r w:rsidRPr="00FE33C2">
        <w:rPr>
          <w:color w:val="002060"/>
          <w:szCs w:val="18"/>
        </w:rPr>
        <w:t xml:space="preserve"> and the Coombs Wood Centre.  Facilities, </w:t>
      </w:r>
      <w:proofErr w:type="gramStart"/>
      <w:r w:rsidRPr="00FE33C2">
        <w:rPr>
          <w:color w:val="002060"/>
          <w:szCs w:val="18"/>
        </w:rPr>
        <w:t>buildings</w:t>
      </w:r>
      <w:proofErr w:type="gramEnd"/>
      <w:r w:rsidRPr="00FE33C2">
        <w:rPr>
          <w:color w:val="002060"/>
          <w:szCs w:val="18"/>
        </w:rPr>
        <w:t xml:space="preserve"> and resources are modern, inviting and the campuses are an exciting place to learn and work.  </w:t>
      </w:r>
    </w:p>
    <w:p w14:paraId="5FB43B28" w14:textId="77777777" w:rsidR="00CE7BF8" w:rsidRPr="00FE33C2" w:rsidRDefault="00CE7BF8" w:rsidP="00CE7BF8">
      <w:pPr>
        <w:rPr>
          <w:color w:val="002060"/>
          <w:szCs w:val="18"/>
        </w:rPr>
      </w:pPr>
      <w:r w:rsidRPr="00FE33C2">
        <w:rPr>
          <w:color w:val="002060"/>
          <w:szCs w:val="18"/>
        </w:rPr>
        <w:t xml:space="preserve">The College is structured in three Curriculum Faculties, each with an Assistant Principal and two business support areas, Learner Support Services and Corporate Services.  </w:t>
      </w:r>
    </w:p>
    <w:p w14:paraId="204E487F" w14:textId="77777777" w:rsidR="00CE7BF8" w:rsidRPr="00FE33C2" w:rsidRDefault="00CE7BF8" w:rsidP="00CE7BF8">
      <w:pPr>
        <w:rPr>
          <w:color w:val="002060"/>
          <w:szCs w:val="18"/>
        </w:rPr>
      </w:pPr>
    </w:p>
    <w:p w14:paraId="763FF73E" w14:textId="77777777" w:rsidR="00CE7BF8" w:rsidRPr="00FE33C2" w:rsidRDefault="00CE7BF8" w:rsidP="00CE7BF8">
      <w:pPr>
        <w:rPr>
          <w:color w:val="002060"/>
          <w:szCs w:val="18"/>
        </w:rPr>
      </w:pPr>
      <w:r w:rsidRPr="00FE33C2">
        <w:rPr>
          <w:color w:val="002060"/>
          <w:szCs w:val="18"/>
        </w:rPr>
        <w:t xml:space="preserve">Quality and Standards is overseen by a fourth Assistant Principal and the </w:t>
      </w:r>
      <w:proofErr w:type="gramStart"/>
      <w:r w:rsidRPr="00FE33C2">
        <w:rPr>
          <w:color w:val="002060"/>
          <w:szCs w:val="18"/>
        </w:rPr>
        <w:t>team work</w:t>
      </w:r>
      <w:proofErr w:type="gramEnd"/>
      <w:r w:rsidRPr="00FE33C2">
        <w:rPr>
          <w:color w:val="002060"/>
          <w:szCs w:val="18"/>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0EFCEDD4" w14:textId="77777777" w:rsidR="00CE7BF8" w:rsidRPr="00FE33C2" w:rsidRDefault="00CE7BF8" w:rsidP="00CE7BF8">
      <w:pPr>
        <w:rPr>
          <w:color w:val="002060"/>
          <w:szCs w:val="18"/>
        </w:rPr>
      </w:pPr>
    </w:p>
    <w:p w14:paraId="183C8B80" w14:textId="77777777" w:rsidR="00CE7BF8" w:rsidRPr="00FE33C2" w:rsidRDefault="00CE7BF8" w:rsidP="00CE7BF8">
      <w:pPr>
        <w:rPr>
          <w:color w:val="002060"/>
          <w:szCs w:val="18"/>
        </w:rPr>
      </w:pPr>
      <w:r w:rsidRPr="00FE33C2">
        <w:rPr>
          <w:color w:val="002060"/>
          <w:szCs w:val="18"/>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65C06ACA" w14:textId="77777777" w:rsidR="00CE7BF8" w:rsidRPr="00FE33C2" w:rsidRDefault="00CE7BF8" w:rsidP="00CE7BF8">
      <w:pPr>
        <w:rPr>
          <w:color w:val="002060"/>
          <w:szCs w:val="18"/>
        </w:rPr>
      </w:pPr>
    </w:p>
    <w:p w14:paraId="21CDB78D" w14:textId="77777777" w:rsidR="00CE7BF8" w:rsidRPr="00FE33C2" w:rsidRDefault="00CE7BF8" w:rsidP="00CE7BF8">
      <w:pPr>
        <w:rPr>
          <w:color w:val="002060"/>
          <w:szCs w:val="18"/>
        </w:rPr>
      </w:pPr>
      <w:r w:rsidRPr="00FE33C2">
        <w:rPr>
          <w:color w:val="002060"/>
          <w:szCs w:val="18"/>
        </w:rPr>
        <w:t>We are proud to be recognised as a Leader in Diversity which has been retained since November 2020, for Fairness, Respect, Equality, Diversity, Inclusion and Engagement.</w:t>
      </w:r>
    </w:p>
    <w:p w14:paraId="6C0772D6" w14:textId="77777777" w:rsidR="00CE7BF8" w:rsidRPr="00FE33C2" w:rsidRDefault="00CE7BF8" w:rsidP="00CE7BF8">
      <w:pPr>
        <w:rPr>
          <w:color w:val="002060"/>
          <w:szCs w:val="18"/>
        </w:rPr>
      </w:pPr>
    </w:p>
    <w:p w14:paraId="74CD7B0B" w14:textId="77777777" w:rsidR="00CE7BF8" w:rsidRPr="00FE33C2" w:rsidRDefault="00CE7BF8" w:rsidP="00CE7BF8">
      <w:pPr>
        <w:rPr>
          <w:color w:val="002060"/>
          <w:szCs w:val="18"/>
        </w:rPr>
      </w:pPr>
      <w:r w:rsidRPr="00FE33C2">
        <w:rPr>
          <w:color w:val="002060"/>
          <w:szCs w:val="18"/>
        </w:rPr>
        <w:t xml:space="preserve">The College primarily serves the communities of Halesowen, Stourbridge, </w:t>
      </w:r>
      <w:proofErr w:type="gramStart"/>
      <w:r w:rsidRPr="00FE33C2">
        <w:rPr>
          <w:color w:val="002060"/>
          <w:szCs w:val="18"/>
        </w:rPr>
        <w:t>Dudley</w:t>
      </w:r>
      <w:proofErr w:type="gramEnd"/>
      <w:r w:rsidRPr="00FE33C2">
        <w:rPr>
          <w:color w:val="002060"/>
          <w:szCs w:val="18"/>
        </w:rPr>
        <w:t xml:space="preserve"> and Sandwell.  Many students are from urban areas including many wards that score highly on the index of deprivation.  In addition to providing one of the most comprehensive </w:t>
      </w:r>
      <w:proofErr w:type="gramStart"/>
      <w:r w:rsidRPr="00FE33C2">
        <w:rPr>
          <w:color w:val="002060"/>
          <w:szCs w:val="18"/>
        </w:rPr>
        <w:t>curriculum</w:t>
      </w:r>
      <w:proofErr w:type="gramEnd"/>
      <w:r w:rsidRPr="00FE33C2">
        <w:rPr>
          <w:color w:val="002060"/>
          <w:szCs w:val="18"/>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09F64637" w14:textId="77777777" w:rsidR="00CE7BF8" w:rsidRPr="00FE33C2" w:rsidRDefault="00CE7BF8" w:rsidP="00CE7BF8">
      <w:pPr>
        <w:rPr>
          <w:color w:val="002060"/>
          <w:szCs w:val="18"/>
        </w:rPr>
      </w:pPr>
    </w:p>
    <w:p w14:paraId="47F07124" w14:textId="77777777" w:rsidR="00CE7BF8" w:rsidRPr="00FE33C2" w:rsidRDefault="00CE7BF8" w:rsidP="00CE7BF8">
      <w:pPr>
        <w:rPr>
          <w:color w:val="002060"/>
          <w:szCs w:val="18"/>
        </w:rPr>
      </w:pPr>
      <w:r w:rsidRPr="00FE33C2">
        <w:rPr>
          <w:color w:val="002060"/>
          <w:szCs w:val="18"/>
        </w:rPr>
        <w:t>The College has:</w:t>
      </w:r>
    </w:p>
    <w:p w14:paraId="6E313EA7" w14:textId="77777777" w:rsidR="00CE7BF8" w:rsidRPr="00FE33C2" w:rsidRDefault="00CE7BF8" w:rsidP="00CE7BF8">
      <w:pPr>
        <w:ind w:left="357"/>
        <w:rPr>
          <w:color w:val="002060"/>
          <w:szCs w:val="18"/>
        </w:rPr>
      </w:pPr>
    </w:p>
    <w:p w14:paraId="723D7EEE" w14:textId="77777777" w:rsidR="00CE7BF8" w:rsidRPr="00FE33C2" w:rsidRDefault="00CE7BF8" w:rsidP="00CE7BF8">
      <w:pPr>
        <w:pStyle w:val="ListParagraph"/>
        <w:numPr>
          <w:ilvl w:val="0"/>
          <w:numId w:val="1"/>
        </w:numPr>
        <w:spacing w:line="360" w:lineRule="auto"/>
        <w:ind w:left="357" w:hanging="357"/>
        <w:rPr>
          <w:color w:val="002060"/>
          <w:szCs w:val="18"/>
        </w:rPr>
      </w:pPr>
      <w:r w:rsidRPr="00FE33C2">
        <w:rPr>
          <w:color w:val="002060"/>
          <w:szCs w:val="18"/>
        </w:rPr>
        <w:t xml:space="preserve">Excellent relationships with local schools and </w:t>
      </w:r>
      <w:proofErr w:type="gramStart"/>
      <w:r w:rsidRPr="00FE33C2">
        <w:rPr>
          <w:color w:val="002060"/>
          <w:szCs w:val="18"/>
        </w:rPr>
        <w:t>recruits</w:t>
      </w:r>
      <w:proofErr w:type="gramEnd"/>
      <w:r w:rsidRPr="00FE33C2">
        <w:rPr>
          <w:color w:val="002060"/>
          <w:szCs w:val="18"/>
        </w:rPr>
        <w:t xml:space="preserve"> students from more than 100 others.</w:t>
      </w:r>
    </w:p>
    <w:p w14:paraId="3C3B70D0" w14:textId="77777777" w:rsidR="00CE7BF8" w:rsidRPr="00FE33C2" w:rsidRDefault="00CE7BF8" w:rsidP="00CE7BF8">
      <w:pPr>
        <w:pStyle w:val="ListParagraph"/>
        <w:numPr>
          <w:ilvl w:val="0"/>
          <w:numId w:val="1"/>
        </w:numPr>
        <w:spacing w:line="360" w:lineRule="auto"/>
        <w:ind w:left="357" w:hanging="357"/>
        <w:rPr>
          <w:color w:val="002060"/>
          <w:szCs w:val="18"/>
        </w:rPr>
      </w:pPr>
      <w:r w:rsidRPr="00FE33C2">
        <w:rPr>
          <w:color w:val="002060"/>
          <w:szCs w:val="18"/>
        </w:rPr>
        <w:t>Some 4,300 funded full-time 16-18 learners</w:t>
      </w:r>
    </w:p>
    <w:p w14:paraId="4F63BB3F"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Both GCE A levels and vocational provision of which 70% of students follow level 3 studies.</w:t>
      </w:r>
    </w:p>
    <w:p w14:paraId="40133801"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Growing numbers of adults;14-16-year-old elected home-educated students and a small but rapidly increasing number of apprentices.</w:t>
      </w:r>
    </w:p>
    <w:p w14:paraId="3C584938"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Programmes range from Entry Level to Level 4.  Adult provision is primarily concentrated on GCSE English, Maths and Access to Higher Education programmes supported by some specific vocational expertise on areas such as Counselling.</w:t>
      </w:r>
    </w:p>
    <w:p w14:paraId="21FDAE6E"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There is a growing number of students who receive learning support assistance and most have access arrangements for their exams or assessment.</w:t>
      </w:r>
    </w:p>
    <w:p w14:paraId="1C197792" w14:textId="77777777" w:rsidR="00CE7BF8" w:rsidRPr="00035D67" w:rsidRDefault="00CE7BF8" w:rsidP="00CE7BF8">
      <w:pPr>
        <w:pStyle w:val="ListParagraph"/>
        <w:numPr>
          <w:ilvl w:val="0"/>
          <w:numId w:val="1"/>
        </w:numPr>
        <w:spacing w:line="360" w:lineRule="auto"/>
        <w:rPr>
          <w:color w:val="002060"/>
          <w:szCs w:val="18"/>
        </w:rPr>
      </w:pPr>
      <w:r w:rsidRPr="00035D67">
        <w:rPr>
          <w:color w:val="002060"/>
          <w:szCs w:val="18"/>
        </w:rPr>
        <w:t>University Centre Halesowen partly funded by the University of Worcester, as well as other extensive partnerships that compliments the College’s higher level vocational pathways for students who are unlikely to access traditional university education.</w:t>
      </w:r>
    </w:p>
    <w:p w14:paraId="180CEC11" w14:textId="77777777" w:rsidR="00CE7BF8" w:rsidRPr="00035D67" w:rsidRDefault="00CE7BF8" w:rsidP="00CE7BF8">
      <w:pPr>
        <w:pStyle w:val="ListParagraph"/>
        <w:numPr>
          <w:ilvl w:val="0"/>
          <w:numId w:val="1"/>
        </w:numPr>
        <w:spacing w:line="360" w:lineRule="auto"/>
        <w:rPr>
          <w:szCs w:val="18"/>
        </w:rPr>
      </w:pPr>
      <w:r w:rsidRPr="00035D67">
        <w:rPr>
          <w:color w:val="002060"/>
          <w:szCs w:val="18"/>
        </w:rPr>
        <w:t xml:space="preserve">Strong relationships with a range of stakeholders, including the West Midlands Combined Authority, Local Enterprise Partnership, schools, multi-academy trusts, </w:t>
      </w:r>
      <w:proofErr w:type="gramStart"/>
      <w:r w:rsidRPr="00035D67">
        <w:rPr>
          <w:color w:val="002060"/>
          <w:szCs w:val="18"/>
        </w:rPr>
        <w:t>employers</w:t>
      </w:r>
      <w:proofErr w:type="gramEnd"/>
      <w:r w:rsidRPr="00035D67">
        <w:rPr>
          <w:color w:val="002060"/>
          <w:szCs w:val="18"/>
        </w:rPr>
        <w:t xml:space="preserve"> and the local community</w:t>
      </w:r>
      <w:r w:rsidRPr="00035D67">
        <w:rPr>
          <w:szCs w:val="18"/>
        </w:rPr>
        <w:t>.</w:t>
      </w:r>
    </w:p>
    <w:p w14:paraId="42C8FB5A" w14:textId="77777777" w:rsidR="00CE7BF8" w:rsidRPr="00FE33C2" w:rsidRDefault="00CE7BF8" w:rsidP="00CE7BF8">
      <w:pPr>
        <w:pStyle w:val="Heading2"/>
        <w:rPr>
          <w:rFonts w:ascii="Arial" w:hAnsi="Arial" w:cs="Arial"/>
          <w:b/>
          <w:bCs/>
          <w:sz w:val="20"/>
          <w:szCs w:val="18"/>
        </w:rPr>
        <w:sectPr w:rsidR="00CE7BF8" w:rsidRPr="00FE33C2" w:rsidSect="00DC0267">
          <w:type w:val="continuous"/>
          <w:pgSz w:w="11906" w:h="16838"/>
          <w:pgMar w:top="851" w:right="1134" w:bottom="1134" w:left="1134" w:header="709" w:footer="709" w:gutter="0"/>
          <w:cols w:num="2" w:space="708"/>
          <w:docGrid w:linePitch="360"/>
        </w:sectPr>
      </w:pPr>
    </w:p>
    <w:p w14:paraId="335F87DC" w14:textId="77777777" w:rsidR="00CE7BF8" w:rsidRPr="00FE33C2" w:rsidRDefault="00CE7BF8" w:rsidP="00CE7BF8">
      <w:pPr>
        <w:rPr>
          <w:rFonts w:eastAsiaTheme="majorEastAsia"/>
          <w:b/>
          <w:bCs/>
          <w:color w:val="2F5496" w:themeColor="accent1" w:themeShade="BF"/>
          <w:sz w:val="26"/>
          <w:szCs w:val="26"/>
        </w:rPr>
      </w:pPr>
      <w:r w:rsidRPr="00FE33C2">
        <w:rPr>
          <w:b/>
          <w:bCs/>
        </w:rPr>
        <w:br w:type="page"/>
      </w:r>
    </w:p>
    <w:p w14:paraId="72EBC66E" w14:textId="77777777" w:rsidR="00CE7BF8" w:rsidRDefault="00CE7BF8" w:rsidP="00CE7BF8">
      <w:pPr>
        <w:rPr>
          <w:b/>
          <w:bCs/>
          <w:color w:val="002060"/>
          <w:sz w:val="28"/>
          <w:szCs w:val="28"/>
        </w:rPr>
      </w:pPr>
      <w:r w:rsidRPr="00FE33C2">
        <w:rPr>
          <w:b/>
          <w:bCs/>
          <w:color w:val="002060"/>
          <w:sz w:val="28"/>
          <w:szCs w:val="28"/>
        </w:rPr>
        <w:t>Why work for Halesowen College – staff benefits include:</w:t>
      </w:r>
    </w:p>
    <w:p w14:paraId="5A285D0D" w14:textId="77777777" w:rsidR="00CE7BF8" w:rsidRPr="00FE33C2" w:rsidRDefault="00CE7BF8" w:rsidP="00CE7BF8">
      <w:pPr>
        <w:rPr>
          <w:b/>
          <w:bCs/>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E7BF8" w:rsidRPr="00FE33C2" w14:paraId="5DD33B2C" w14:textId="77777777" w:rsidTr="00242B15">
        <w:tc>
          <w:tcPr>
            <w:tcW w:w="4814" w:type="dxa"/>
          </w:tcPr>
          <w:p w14:paraId="5986958F" w14:textId="77777777" w:rsidR="00CE7BF8" w:rsidRPr="00FE33C2" w:rsidRDefault="00CE7BF8" w:rsidP="00CE7BF8">
            <w:pPr>
              <w:pStyle w:val="ListParagraph"/>
              <w:numPr>
                <w:ilvl w:val="0"/>
                <w:numId w:val="3"/>
              </w:numPr>
              <w:tabs>
                <w:tab w:val="left" w:pos="2322"/>
                <w:tab w:val="left" w:pos="4482"/>
              </w:tabs>
              <w:spacing w:before="120" w:line="360" w:lineRule="auto"/>
              <w:ind w:left="714" w:hanging="357"/>
              <w:jc w:val="both"/>
              <w:rPr>
                <w:rFonts w:ascii="Arial" w:hAnsi="Arial" w:cs="Arial"/>
                <w:color w:val="002060"/>
                <w:szCs w:val="18"/>
              </w:rPr>
            </w:pPr>
            <w:r w:rsidRPr="00FE33C2">
              <w:rPr>
                <w:rFonts w:ascii="Arial" w:hAnsi="Arial" w:cs="Arial"/>
                <w:color w:val="002060"/>
                <w:szCs w:val="18"/>
              </w:rPr>
              <w:t>Local Government Pension Scheme or Teachers’ Pension Scheme</w:t>
            </w:r>
          </w:p>
          <w:p w14:paraId="1B2486FD"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Opportunities to develop in your role with a comprehensive staff development programme</w:t>
            </w:r>
          </w:p>
          <w:p w14:paraId="635B4AEF"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Away Day in the Summer term</w:t>
            </w:r>
          </w:p>
          <w:p w14:paraId="4056A76A"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Our Employee Assistance Programme helps you deal with life challenges including 24/7 GP service, counselling, carer advice, spine and neurological advice, financial wellness, legal helpline.</w:t>
            </w:r>
          </w:p>
          <w:p w14:paraId="57615942"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Onsite parking, heavily subsidised.</w:t>
            </w:r>
          </w:p>
          <w:p w14:paraId="4CAA2B51"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Business mileage, cars 45p per mile and 24p per mile for motorbikes and 20p per mile for bicycles.</w:t>
            </w:r>
          </w:p>
          <w:p w14:paraId="374CA34F"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Birmingham Hospital Saturday Fund – health cash plan through payroll</w:t>
            </w:r>
          </w:p>
          <w:p w14:paraId="1221E239"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 xml:space="preserve">Salary </w:t>
            </w:r>
            <w:proofErr w:type="gramStart"/>
            <w:r w:rsidRPr="00FE33C2">
              <w:rPr>
                <w:rFonts w:ascii="Arial" w:hAnsi="Arial" w:cs="Arial"/>
                <w:color w:val="002060"/>
                <w:szCs w:val="18"/>
              </w:rPr>
              <w:t>sacrifice</w:t>
            </w:r>
            <w:proofErr w:type="gramEnd"/>
            <w:r w:rsidRPr="00FE33C2">
              <w:rPr>
                <w:rFonts w:ascii="Arial" w:hAnsi="Arial" w:cs="Arial"/>
                <w:color w:val="002060"/>
                <w:szCs w:val="18"/>
              </w:rPr>
              <w:t xml:space="preserve"> for Cycle2Work</w:t>
            </w:r>
          </w:p>
          <w:p w14:paraId="38F053FD" w14:textId="77777777" w:rsidR="00CE7BF8" w:rsidRPr="00FE33C2" w:rsidRDefault="00CE7BF8" w:rsidP="00242B15">
            <w:pPr>
              <w:rPr>
                <w:rFonts w:ascii="Arial" w:hAnsi="Arial" w:cs="Arial"/>
                <w:color w:val="002060"/>
                <w:szCs w:val="18"/>
              </w:rPr>
            </w:pPr>
          </w:p>
        </w:tc>
        <w:tc>
          <w:tcPr>
            <w:tcW w:w="4814" w:type="dxa"/>
          </w:tcPr>
          <w:p w14:paraId="76D2DBFC"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 xml:space="preserve">Staff Digital Scheme (loans for IT equipment) </w:t>
            </w:r>
          </w:p>
          <w:p w14:paraId="124E52E7"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Sick pay scheme (after qualifying periods up to six months full pay and six months half pay should you need)</w:t>
            </w:r>
          </w:p>
          <w:p w14:paraId="61CF213D"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Shutdown days December/January</w:t>
            </w:r>
          </w:p>
          <w:p w14:paraId="623AF946"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Remote access to college networks</w:t>
            </w:r>
          </w:p>
          <w:p w14:paraId="0B79E3A6"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Discounts on treatments in our training salons</w:t>
            </w:r>
          </w:p>
          <w:p w14:paraId="5E1F1C63"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Fitness and wellbeing facilities and instructors</w:t>
            </w:r>
          </w:p>
          <w:p w14:paraId="6A90EDEF"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Eye care – VDU users can have their eye test paid for and receive staff discounts at local opticians</w:t>
            </w:r>
          </w:p>
          <w:p w14:paraId="5504E036" w14:textId="77777777" w:rsidR="00CE7BF8" w:rsidRPr="00FE33C2" w:rsidRDefault="00CE7BF8" w:rsidP="00CE7BF8">
            <w:pPr>
              <w:pStyle w:val="ListParagraph"/>
              <w:numPr>
                <w:ilvl w:val="0"/>
                <w:numId w:val="2"/>
              </w:numPr>
              <w:spacing w:before="120" w:line="360" w:lineRule="auto"/>
              <w:ind w:left="714" w:hanging="357"/>
              <w:rPr>
                <w:rFonts w:ascii="Arial" w:hAnsi="Arial" w:cs="Arial"/>
                <w:color w:val="002060"/>
                <w:szCs w:val="18"/>
              </w:rPr>
            </w:pPr>
            <w:r w:rsidRPr="00FE33C2">
              <w:rPr>
                <w:rFonts w:ascii="Arial" w:hAnsi="Arial" w:cs="Arial"/>
                <w:color w:val="002060"/>
                <w:szCs w:val="18"/>
              </w:rPr>
              <w:t>Free Flu Vaccination onsite</w:t>
            </w:r>
          </w:p>
          <w:p w14:paraId="371A5128" w14:textId="77777777" w:rsidR="00CE7BF8" w:rsidRPr="00FE33C2" w:rsidRDefault="00CE7BF8" w:rsidP="00CE7BF8">
            <w:pPr>
              <w:pStyle w:val="ListParagraph"/>
              <w:numPr>
                <w:ilvl w:val="0"/>
                <w:numId w:val="2"/>
              </w:numPr>
              <w:spacing w:before="120" w:line="360" w:lineRule="auto"/>
              <w:rPr>
                <w:rFonts w:ascii="Arial" w:hAnsi="Arial" w:cs="Arial"/>
                <w:color w:val="002060"/>
                <w:szCs w:val="18"/>
              </w:rPr>
            </w:pPr>
            <w:r w:rsidRPr="00FE33C2">
              <w:rPr>
                <w:rFonts w:ascii="Arial" w:hAnsi="Arial" w:cs="Arial"/>
                <w:color w:val="002060"/>
                <w:szCs w:val="18"/>
              </w:rPr>
              <w:t xml:space="preserve">Onsite wellbeing checks </w:t>
            </w:r>
          </w:p>
          <w:p w14:paraId="07A847B2" w14:textId="77777777" w:rsidR="00CE7BF8" w:rsidRPr="00FE33C2" w:rsidRDefault="00CE7BF8" w:rsidP="00242B15">
            <w:pPr>
              <w:rPr>
                <w:rFonts w:ascii="Arial" w:hAnsi="Arial" w:cs="Arial"/>
                <w:color w:val="002060"/>
                <w:szCs w:val="18"/>
              </w:rPr>
            </w:pPr>
          </w:p>
        </w:tc>
      </w:tr>
    </w:tbl>
    <w:p w14:paraId="0B91FA14" w14:textId="77777777" w:rsidR="00CE7BF8" w:rsidRPr="00FE33C2" w:rsidRDefault="00CE7BF8" w:rsidP="00CE7BF8"/>
    <w:p w14:paraId="7A3384BD" w14:textId="1BB64145" w:rsidR="00CE7BF8" w:rsidRDefault="00CE7BF8">
      <w:r>
        <w:br w:type="page"/>
      </w:r>
    </w:p>
    <w:p w14:paraId="39F2A96B" w14:textId="77777777" w:rsidR="00CE7BF8" w:rsidRPr="00FE33C2" w:rsidRDefault="00CE7BF8" w:rsidP="00CE7BF8">
      <w:pPr>
        <w:pStyle w:val="ListParagraph"/>
        <w:numPr>
          <w:ilvl w:val="0"/>
          <w:numId w:val="3"/>
        </w:numPr>
        <w:tabs>
          <w:tab w:val="left" w:pos="2322"/>
          <w:tab w:val="left" w:pos="4482"/>
        </w:tabs>
        <w:spacing w:before="120" w:line="360" w:lineRule="auto"/>
        <w:ind w:left="714" w:hanging="357"/>
        <w:jc w:val="both"/>
        <w:sectPr w:rsidR="00CE7BF8" w:rsidRPr="00FE33C2" w:rsidSect="00DC0267">
          <w:type w:val="continuous"/>
          <w:pgSz w:w="11906" w:h="16838"/>
          <w:pgMar w:top="851" w:right="1134" w:bottom="1134" w:left="1134" w:header="709" w:footer="709" w:gutter="0"/>
          <w:cols w:space="708"/>
          <w:docGrid w:linePitch="360"/>
        </w:sectPr>
      </w:pPr>
    </w:p>
    <w:p w14:paraId="25783EB2" w14:textId="77777777" w:rsidR="00CE7BF8" w:rsidRPr="00FE33C2" w:rsidRDefault="00CE7BF8" w:rsidP="00CE7BF8">
      <w:pPr>
        <w:pStyle w:val="ListParagraph"/>
        <w:spacing w:line="360" w:lineRule="auto"/>
        <w:ind w:left="425"/>
        <w:rPr>
          <w:sz w:val="20"/>
          <w:szCs w:val="20"/>
        </w:rPr>
      </w:pPr>
    </w:p>
    <w:p w14:paraId="110A0C35" w14:textId="77777777" w:rsidR="00CE7BF8" w:rsidRPr="00FE33C2" w:rsidRDefault="00CE7BF8" w:rsidP="00CE7BF8">
      <w:pPr>
        <w:pStyle w:val="ListParagraph"/>
        <w:spacing w:line="360" w:lineRule="auto"/>
        <w:ind w:left="425"/>
        <w:sectPr w:rsidR="00CE7BF8" w:rsidRPr="00FE33C2" w:rsidSect="00E72607">
          <w:type w:val="continuous"/>
          <w:pgSz w:w="11906" w:h="16838"/>
          <w:pgMar w:top="851" w:right="1134" w:bottom="1134" w:left="1134" w:header="709" w:footer="709" w:gutter="0"/>
          <w:cols w:num="2" w:space="708"/>
          <w:docGrid w:linePitch="360"/>
        </w:sectPr>
      </w:pPr>
    </w:p>
    <w:p w14:paraId="4983030D" w14:textId="77777777" w:rsidR="00CE7BF8" w:rsidRPr="00FE33C2" w:rsidRDefault="00CE7BF8" w:rsidP="00CE7BF8">
      <w:pPr>
        <w:pStyle w:val="ListParagraph"/>
        <w:spacing w:line="360" w:lineRule="auto"/>
        <w:ind w:left="425"/>
        <w:jc w:val="center"/>
      </w:pPr>
      <w:r w:rsidRPr="00FE33C2">
        <w:rPr>
          <w:noProof/>
        </w:rPr>
        <w:drawing>
          <wp:inline distT="0" distB="0" distL="0" distR="0" wp14:anchorId="2FA0260A" wp14:editId="2DE0168A">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CE7BF8" w:rsidRPr="00FE33C2" w14:paraId="0B4ED5C4" w14:textId="77777777" w:rsidTr="00242B15">
        <w:tc>
          <w:tcPr>
            <w:tcW w:w="10201" w:type="dxa"/>
          </w:tcPr>
          <w:p w14:paraId="4218F399" w14:textId="77777777" w:rsidR="00CE7BF8" w:rsidRPr="00FE33C2" w:rsidRDefault="00CE7BF8" w:rsidP="00242B15">
            <w:pPr>
              <w:rPr>
                <w:rFonts w:ascii="Arial" w:hAnsi="Arial" w:cs="Arial"/>
                <w:b/>
                <w:bCs/>
                <w:color w:val="1F3864" w:themeColor="accent1" w:themeShade="80"/>
                <w:sz w:val="28"/>
                <w:szCs w:val="28"/>
              </w:rPr>
            </w:pPr>
            <w:r w:rsidRPr="00FE33C2">
              <w:rPr>
                <w:rFonts w:ascii="Arial" w:hAnsi="Arial" w:cs="Arial"/>
                <w:b/>
                <w:bCs/>
                <w:color w:val="1F3864" w:themeColor="accent1" w:themeShade="80"/>
                <w:sz w:val="28"/>
                <w:szCs w:val="28"/>
              </w:rPr>
              <w:t>Safeguarding</w:t>
            </w:r>
          </w:p>
          <w:p w14:paraId="5246014F" w14:textId="77777777" w:rsidR="00CE7BF8" w:rsidRPr="00FE33C2" w:rsidRDefault="00CE7BF8" w:rsidP="00242B15">
            <w:pPr>
              <w:rPr>
                <w:rFonts w:ascii="Arial" w:hAnsi="Arial" w:cs="Arial"/>
                <w:b/>
                <w:bCs/>
                <w:color w:val="1F3864" w:themeColor="accent1" w:themeShade="80"/>
              </w:rPr>
            </w:pPr>
          </w:p>
          <w:p w14:paraId="62AD0D89" w14:textId="77777777" w:rsidR="00CE7BF8" w:rsidRPr="00FE33C2" w:rsidRDefault="00CE7BF8" w:rsidP="00242B15">
            <w:pPr>
              <w:rPr>
                <w:rFonts w:ascii="Arial" w:hAnsi="Arial" w:cs="Arial"/>
                <w:color w:val="1F3864" w:themeColor="accent1" w:themeShade="80"/>
              </w:rPr>
            </w:pPr>
            <w:r w:rsidRPr="00FE33C2">
              <w:rPr>
                <w:rFonts w:ascii="Arial" w:hAnsi="Arial" w:cs="Arial"/>
                <w:color w:val="1F3864" w:themeColor="accent1" w:themeShade="80"/>
              </w:rPr>
              <w:t>Halesowen College will carry out pre-employment safeguarding vetting checks to ensure that staff appointed are suitable to work with children and or vulnerable adults.</w:t>
            </w:r>
          </w:p>
          <w:p w14:paraId="23ED38CF" w14:textId="77777777" w:rsidR="00CE7BF8" w:rsidRPr="00FE33C2" w:rsidRDefault="00CE7BF8" w:rsidP="00242B15">
            <w:pPr>
              <w:rPr>
                <w:rFonts w:ascii="Arial" w:hAnsi="Arial" w:cs="Arial"/>
                <w:color w:val="1F3864" w:themeColor="accent1" w:themeShade="80"/>
              </w:rPr>
            </w:pPr>
          </w:p>
          <w:p w14:paraId="5EA91039" w14:textId="77777777" w:rsidR="00CE7BF8" w:rsidRPr="00FE33C2" w:rsidRDefault="00CE7BF8" w:rsidP="00CE7BF8">
            <w:pPr>
              <w:pStyle w:val="ListParagraph"/>
              <w:numPr>
                <w:ilvl w:val="0"/>
                <w:numId w:val="4"/>
              </w:numPr>
              <w:spacing w:line="259" w:lineRule="auto"/>
              <w:rPr>
                <w:rFonts w:ascii="Arial" w:hAnsi="Arial" w:cs="Arial"/>
                <w:color w:val="1F3864" w:themeColor="accent1" w:themeShade="80"/>
              </w:rPr>
            </w:pPr>
            <w:r w:rsidRPr="00FE33C2">
              <w:rPr>
                <w:rFonts w:ascii="Arial" w:hAnsi="Arial" w:cs="Arial"/>
                <w:color w:val="1F3864" w:themeColor="accent1" w:themeShade="80"/>
              </w:rPr>
              <w:t>We are committed to safeguarding and promoting the welfare of children and vulnerable adults</w:t>
            </w:r>
          </w:p>
          <w:p w14:paraId="16E04F4C" w14:textId="77777777" w:rsidR="00CE7BF8" w:rsidRPr="00FE33C2" w:rsidRDefault="00CE7BF8" w:rsidP="00CE7BF8">
            <w:pPr>
              <w:pStyle w:val="ListParagraph"/>
              <w:numPr>
                <w:ilvl w:val="0"/>
                <w:numId w:val="4"/>
              </w:numPr>
              <w:spacing w:line="259" w:lineRule="auto"/>
              <w:rPr>
                <w:rFonts w:ascii="Arial" w:hAnsi="Arial" w:cs="Arial"/>
                <w:color w:val="1F3864" w:themeColor="accent1" w:themeShade="80"/>
              </w:rPr>
            </w:pPr>
            <w:r w:rsidRPr="00FE33C2">
              <w:rPr>
                <w:rFonts w:ascii="Arial" w:hAnsi="Arial" w:cs="Arial"/>
                <w:color w:val="1F3864" w:themeColor="accent1" w:themeShade="80"/>
              </w:rPr>
              <w:t>All staff employed have safeguarding responsibilities irrespective of their role</w:t>
            </w:r>
          </w:p>
          <w:p w14:paraId="77A10F46" w14:textId="77777777" w:rsidR="00CE7BF8" w:rsidRPr="00CE7BF8" w:rsidRDefault="00CE7BF8" w:rsidP="00CE7BF8">
            <w:pPr>
              <w:pStyle w:val="ListParagraph"/>
              <w:numPr>
                <w:ilvl w:val="0"/>
                <w:numId w:val="4"/>
              </w:numPr>
              <w:rPr>
                <w:rFonts w:ascii="Arial" w:hAnsi="Arial" w:cs="Arial"/>
              </w:rPr>
            </w:pPr>
            <w:r w:rsidRPr="00FE33C2">
              <w:rPr>
                <w:rFonts w:ascii="Arial" w:hAnsi="Arial" w:cs="Arial"/>
                <w:color w:val="1F3864" w:themeColor="accent1" w:themeShade="80"/>
              </w:rPr>
              <w:t xml:space="preserve">The post that you will be applying for is exempt from the Rehabilitation of Offenders Act 1974 and the amendments to the Exceptions Order 1975, 2013 and 2020.  </w:t>
            </w:r>
          </w:p>
          <w:p w14:paraId="364EE25D" w14:textId="2D5A2DF0" w:rsidR="00CE7BF8" w:rsidRPr="00FE33C2" w:rsidRDefault="00CE7BF8" w:rsidP="005D671C">
            <w:pPr>
              <w:pStyle w:val="ListParagraph"/>
              <w:rPr>
                <w:rFonts w:ascii="Arial" w:hAnsi="Arial" w:cs="Arial"/>
              </w:rPr>
            </w:pPr>
          </w:p>
        </w:tc>
      </w:tr>
    </w:tbl>
    <w:p w14:paraId="6A6B7AB8" w14:textId="77777777" w:rsidR="00CE7BF8" w:rsidRDefault="00CE7BF8" w:rsidP="00CE7BF8">
      <w:pPr>
        <w:rPr>
          <w:sz w:val="20"/>
        </w:rPr>
      </w:pPr>
    </w:p>
    <w:p w14:paraId="7E402695" w14:textId="77777777" w:rsidR="000613E4" w:rsidRPr="00CE7BF8" w:rsidRDefault="000613E4" w:rsidP="00CE7BF8"/>
    <w:sectPr w:rsidR="000613E4" w:rsidRPr="00CE7BF8" w:rsidSect="007E74AB">
      <w:type w:val="continuous"/>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916577">
    <w:abstractNumId w:val="1"/>
  </w:num>
  <w:num w:numId="2" w16cid:durableId="49888173">
    <w:abstractNumId w:val="2"/>
  </w:num>
  <w:num w:numId="3" w16cid:durableId="651761262">
    <w:abstractNumId w:val="0"/>
  </w:num>
  <w:num w:numId="4" w16cid:durableId="1822382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0B"/>
    <w:rsid w:val="00015736"/>
    <w:rsid w:val="00030D08"/>
    <w:rsid w:val="00046491"/>
    <w:rsid w:val="000613E4"/>
    <w:rsid w:val="00062AFF"/>
    <w:rsid w:val="00064AE0"/>
    <w:rsid w:val="00077EA2"/>
    <w:rsid w:val="000C611C"/>
    <w:rsid w:val="00120ACA"/>
    <w:rsid w:val="00147078"/>
    <w:rsid w:val="001A34DB"/>
    <w:rsid w:val="001A4DB2"/>
    <w:rsid w:val="001B444E"/>
    <w:rsid w:val="001C16E6"/>
    <w:rsid w:val="001C6990"/>
    <w:rsid w:val="001F5A4F"/>
    <w:rsid w:val="00207146"/>
    <w:rsid w:val="002136F0"/>
    <w:rsid w:val="00260051"/>
    <w:rsid w:val="00260B9C"/>
    <w:rsid w:val="00265EE5"/>
    <w:rsid w:val="00296AF1"/>
    <w:rsid w:val="002C4485"/>
    <w:rsid w:val="002D056B"/>
    <w:rsid w:val="002D2131"/>
    <w:rsid w:val="002E3A39"/>
    <w:rsid w:val="002E73C2"/>
    <w:rsid w:val="002F346B"/>
    <w:rsid w:val="003030A4"/>
    <w:rsid w:val="0030D58C"/>
    <w:rsid w:val="00316DAD"/>
    <w:rsid w:val="00356683"/>
    <w:rsid w:val="00366BEA"/>
    <w:rsid w:val="0039151E"/>
    <w:rsid w:val="003A5998"/>
    <w:rsid w:val="003C0129"/>
    <w:rsid w:val="003F20EB"/>
    <w:rsid w:val="00401EB3"/>
    <w:rsid w:val="004026DC"/>
    <w:rsid w:val="004212BD"/>
    <w:rsid w:val="00426F96"/>
    <w:rsid w:val="0045429E"/>
    <w:rsid w:val="004973B3"/>
    <w:rsid w:val="004F00CD"/>
    <w:rsid w:val="005603E9"/>
    <w:rsid w:val="005D671C"/>
    <w:rsid w:val="005E3DC7"/>
    <w:rsid w:val="00600A1C"/>
    <w:rsid w:val="00627055"/>
    <w:rsid w:val="00632374"/>
    <w:rsid w:val="00640F16"/>
    <w:rsid w:val="0064433D"/>
    <w:rsid w:val="00651496"/>
    <w:rsid w:val="00653AA3"/>
    <w:rsid w:val="006641F4"/>
    <w:rsid w:val="0069789C"/>
    <w:rsid w:val="007078A7"/>
    <w:rsid w:val="00722C98"/>
    <w:rsid w:val="00737C24"/>
    <w:rsid w:val="00747435"/>
    <w:rsid w:val="007629B2"/>
    <w:rsid w:val="00770352"/>
    <w:rsid w:val="00775AC3"/>
    <w:rsid w:val="0077626F"/>
    <w:rsid w:val="0078486F"/>
    <w:rsid w:val="007E74AB"/>
    <w:rsid w:val="007F1B50"/>
    <w:rsid w:val="008314C3"/>
    <w:rsid w:val="00887F27"/>
    <w:rsid w:val="008B6259"/>
    <w:rsid w:val="008E6CDE"/>
    <w:rsid w:val="008F7E99"/>
    <w:rsid w:val="00925FD8"/>
    <w:rsid w:val="009510C4"/>
    <w:rsid w:val="00985648"/>
    <w:rsid w:val="009D7D16"/>
    <w:rsid w:val="009E06D2"/>
    <w:rsid w:val="009F17DD"/>
    <w:rsid w:val="00A00147"/>
    <w:rsid w:val="00A36F7F"/>
    <w:rsid w:val="00A74081"/>
    <w:rsid w:val="00A82D3B"/>
    <w:rsid w:val="00A92464"/>
    <w:rsid w:val="00AC387F"/>
    <w:rsid w:val="00B14A78"/>
    <w:rsid w:val="00B35C58"/>
    <w:rsid w:val="00B3720D"/>
    <w:rsid w:val="00B43CD8"/>
    <w:rsid w:val="00B4715E"/>
    <w:rsid w:val="00B92761"/>
    <w:rsid w:val="00C37485"/>
    <w:rsid w:val="00C54DFA"/>
    <w:rsid w:val="00CB5D0A"/>
    <w:rsid w:val="00CC7740"/>
    <w:rsid w:val="00CE6F73"/>
    <w:rsid w:val="00CE7BF8"/>
    <w:rsid w:val="00CF2790"/>
    <w:rsid w:val="00D132A1"/>
    <w:rsid w:val="00D24EC3"/>
    <w:rsid w:val="00D342AB"/>
    <w:rsid w:val="00D361C2"/>
    <w:rsid w:val="00D92B8F"/>
    <w:rsid w:val="00DC0267"/>
    <w:rsid w:val="00DE14FA"/>
    <w:rsid w:val="00E1010B"/>
    <w:rsid w:val="00E23356"/>
    <w:rsid w:val="00E691FC"/>
    <w:rsid w:val="00E72607"/>
    <w:rsid w:val="00EA1502"/>
    <w:rsid w:val="00EA7494"/>
    <w:rsid w:val="00ED62EA"/>
    <w:rsid w:val="00EE3146"/>
    <w:rsid w:val="00EE3A8C"/>
    <w:rsid w:val="00F13E34"/>
    <w:rsid w:val="00F233EB"/>
    <w:rsid w:val="00F30E4C"/>
    <w:rsid w:val="00F7561E"/>
    <w:rsid w:val="00F80D9B"/>
    <w:rsid w:val="00FA3E41"/>
    <w:rsid w:val="00FC1CC4"/>
    <w:rsid w:val="00FC6133"/>
    <w:rsid w:val="0C74EA9D"/>
    <w:rsid w:val="0CFFB154"/>
    <w:rsid w:val="12ED5727"/>
    <w:rsid w:val="1B14905E"/>
    <w:rsid w:val="298D1D5F"/>
    <w:rsid w:val="38F4434F"/>
    <w:rsid w:val="3AF35D00"/>
    <w:rsid w:val="40E29FF5"/>
    <w:rsid w:val="4C21579A"/>
    <w:rsid w:val="4D1E68D9"/>
    <w:rsid w:val="52EBC312"/>
    <w:rsid w:val="5322D929"/>
    <w:rsid w:val="5FF80DE5"/>
    <w:rsid w:val="60DDBD2F"/>
    <w:rsid w:val="6F460B78"/>
    <w:rsid w:val="7AB48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6F5D"/>
  <w15:chartTrackingRefBased/>
  <w15:docId w15:val="{7C8EBEE5-9FAF-4F03-8DD9-11D1C7CD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7626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EA"/>
    <w:pPr>
      <w:ind w:left="720"/>
      <w:contextualSpacing/>
    </w:pPr>
  </w:style>
  <w:style w:type="character" w:customStyle="1" w:styleId="Heading2Char">
    <w:name w:val="Heading 2 Char"/>
    <w:basedOn w:val="DefaultParagraphFont"/>
    <w:link w:val="Heading2"/>
    <w:rsid w:val="0077626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13E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C6133"/>
    <w:rPr>
      <w:sz w:val="20"/>
      <w:szCs w:val="20"/>
    </w:rPr>
  </w:style>
  <w:style w:type="character" w:customStyle="1" w:styleId="CommentTextChar">
    <w:name w:val="Comment Text Char"/>
    <w:basedOn w:val="DefaultParagraphFont"/>
    <w:link w:val="CommentText"/>
    <w:uiPriority w:val="99"/>
    <w:semiHidden/>
    <w:rsid w:val="00FC6133"/>
    <w:rPr>
      <w:sz w:val="20"/>
      <w:szCs w:val="20"/>
    </w:rPr>
  </w:style>
  <w:style w:type="character" w:styleId="CommentReference">
    <w:name w:val="annotation reference"/>
    <w:basedOn w:val="DefaultParagraphFont"/>
    <w:uiPriority w:val="99"/>
    <w:semiHidden/>
    <w:unhideWhenUsed/>
    <w:rsid w:val="00FC61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SharedWithUsers xmlns="9d6c1af1-9a95-4456-a40c-7f77e4ece4a1">
      <UserInfo>
        <DisplayName>Mary Tickle</DisplayName>
        <AccountId>147</AccountId>
        <AccountType/>
      </UserInfo>
      <UserInfo>
        <DisplayName>Kate Woodford</DisplayName>
        <AccountId>686</AccountId>
        <AccountType/>
      </UserInfo>
    </SharedWithUsers>
  </documentManagement>
</p:properties>
</file>

<file path=customXml/itemProps1.xml><?xml version="1.0" encoding="utf-8"?>
<ds:datastoreItem xmlns:ds="http://schemas.openxmlformats.org/officeDocument/2006/customXml" ds:itemID="{9B3867E7-A622-434A-A0B9-83C67F32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0ACBE-1BC0-4970-BABF-FDB2E48F8042}">
  <ds:schemaRefs>
    <ds:schemaRef ds:uri="http://schemas.microsoft.com/sharepoint/v3/contenttype/forms"/>
  </ds:schemaRefs>
</ds:datastoreItem>
</file>

<file path=customXml/itemProps3.xml><?xml version="1.0" encoding="utf-8"?>
<ds:datastoreItem xmlns:ds="http://schemas.openxmlformats.org/officeDocument/2006/customXml" ds:itemID="{FC4B25E2-48E6-426C-9ED5-1432A59BC8A9}">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Moore</dc:creator>
  <cp:keywords/>
  <dc:description/>
  <cp:lastModifiedBy>Michelle Haynes</cp:lastModifiedBy>
  <cp:revision>2</cp:revision>
  <dcterms:created xsi:type="dcterms:W3CDTF">2022-11-03T12:22:00Z</dcterms:created>
  <dcterms:modified xsi:type="dcterms:W3CDTF">2022-11-03T12:22:00Z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