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911EC2"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87591337"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911EC2">
        <w:rPr>
          <w:b/>
          <w:color w:val="000000"/>
          <w:szCs w:val="22"/>
          <w:lang w:val="en-GB" w:eastAsia="en-US"/>
        </w:rPr>
        <w:t>Full-time, 37 hours per week. Permanent.</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911EC2">
        <w:rPr>
          <w:b/>
          <w:szCs w:val="22"/>
          <w:lang w:val="en-GB" w:eastAsia="en-US"/>
        </w:rPr>
        <w:t>£23,231 - £33,349 per annum</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911EC2">
        <w:rPr>
          <w:b/>
          <w:color w:val="000000"/>
          <w:szCs w:val="22"/>
          <w:lang w:val="en-GB" w:eastAsia="en-US"/>
        </w:rPr>
        <w:t>Midnight on Tuesday 27 July 2021</w:t>
      </w:r>
    </w:p>
    <w:p w:rsidR="00CF5C5D" w:rsidRDefault="00CF5C5D">
      <w:pPr>
        <w:rPr>
          <w:b/>
          <w:color w:val="000000"/>
          <w:szCs w:val="22"/>
          <w:lang w:val="en-GB" w:eastAsia="en-US"/>
        </w:rPr>
      </w:pPr>
      <w:r>
        <w:rPr>
          <w:b/>
          <w:color w:val="000000"/>
          <w:szCs w:val="22"/>
          <w:lang w:val="en-GB" w:eastAsia="en-US"/>
        </w:rPr>
        <w:br w:type="page"/>
      </w:r>
      <w:bookmarkStart w:id="1" w:name="_GoBack"/>
      <w:bookmarkEnd w:id="1"/>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911EC2">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911EC2">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D27F6"/>
    <w:rsid w:val="00816F12"/>
    <w:rsid w:val="00836291"/>
    <w:rsid w:val="0088376C"/>
    <w:rsid w:val="008860D3"/>
    <w:rsid w:val="008A0502"/>
    <w:rsid w:val="008A0C2E"/>
    <w:rsid w:val="008C14CF"/>
    <w:rsid w:val="00911EC2"/>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3C9AA094"/>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D982-6F0E-4092-A6E3-6A3D3D35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2002</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8</cp:revision>
  <cp:lastPrinted>2019-02-27T11:36:00Z</cp:lastPrinted>
  <dcterms:created xsi:type="dcterms:W3CDTF">2019-04-10T12:08:00Z</dcterms:created>
  <dcterms:modified xsi:type="dcterms:W3CDTF">2021-07-12T09:36:00Z</dcterms:modified>
</cp:coreProperties>
</file>